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B40DD" w14:textId="776D8333" w:rsidR="0046664D" w:rsidRPr="00477FAD" w:rsidRDefault="002B152E" w:rsidP="00477FAD">
      <w:pPr>
        <w:spacing w:line="276" w:lineRule="auto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PLATAFORMA DE GESTÃO DE SEGURANÇA E SAÚDE OCUPACIONAL HOSPITALAR EM CENTRO CIRÚRGICO</w:t>
      </w:r>
    </w:p>
    <w:p w14:paraId="4C943D85" w14:textId="50813D7A" w:rsidR="0046664D" w:rsidRPr="00477FAD" w:rsidRDefault="00901B95" w:rsidP="00901B95">
      <w:pPr>
        <w:tabs>
          <w:tab w:val="left" w:pos="7515"/>
        </w:tabs>
        <w:spacing w:after="120" w:line="276" w:lineRule="auto"/>
        <w:rPr>
          <w:rFonts w:ascii="Arial" w:hAnsi="Arial" w:cs="Arial"/>
          <w:b/>
          <w:sz w:val="8"/>
          <w:szCs w:val="20"/>
        </w:rPr>
      </w:pPr>
      <w:r>
        <w:rPr>
          <w:rFonts w:ascii="Arial" w:hAnsi="Arial" w:cs="Arial"/>
          <w:b/>
          <w:sz w:val="8"/>
          <w:szCs w:val="20"/>
        </w:rPr>
        <w:tab/>
      </w:r>
    </w:p>
    <w:p w14:paraId="6E08EBFC" w14:textId="25916C06" w:rsidR="0046664D" w:rsidRPr="002B152E" w:rsidRDefault="002B152E" w:rsidP="00477FAD">
      <w:pPr>
        <w:spacing w:after="120" w:line="276" w:lineRule="auto"/>
        <w:jc w:val="center"/>
        <w:rPr>
          <w:rFonts w:ascii="Arial" w:hAnsi="Arial" w:cs="Arial"/>
          <w:lang w:val="en-US"/>
        </w:rPr>
      </w:pPr>
      <w:r w:rsidRPr="002B152E">
        <w:rPr>
          <w:rFonts w:ascii="Arial" w:hAnsi="Arial" w:cs="Arial"/>
          <w:lang w:val="en-US"/>
        </w:rPr>
        <w:t xml:space="preserve">Hospital Occupational Health and Safety </w:t>
      </w:r>
      <w:r w:rsidRPr="00CD208C">
        <w:rPr>
          <w:rFonts w:ascii="Arial" w:hAnsi="Arial" w:cs="Arial"/>
          <w:lang w:val="en-US"/>
        </w:rPr>
        <w:t>Management Platform in a Surgical Center</w:t>
      </w:r>
      <w:r w:rsidR="0046664D" w:rsidRPr="002B152E">
        <w:rPr>
          <w:rFonts w:ascii="Arial" w:hAnsi="Arial" w:cs="Arial"/>
          <w:lang w:val="en-US"/>
        </w:rPr>
        <w:t xml:space="preserve"> </w:t>
      </w:r>
    </w:p>
    <w:p w14:paraId="67520620" w14:textId="476627C6" w:rsidR="0046664D" w:rsidRPr="00477FAD" w:rsidRDefault="002B152E" w:rsidP="00477FAD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Plataforma de gestión de seguridade y salud ocupacional hospitalaria em centro quirúrgico</w:t>
      </w:r>
    </w:p>
    <w:p w14:paraId="50C1E2E6" w14:textId="39C9F034" w:rsidR="0046664D" w:rsidRPr="00477FAD" w:rsidRDefault="0046664D" w:rsidP="00477FAD">
      <w:pPr>
        <w:spacing w:after="120" w:line="276" w:lineRule="auto"/>
        <w:jc w:val="both"/>
        <w:rPr>
          <w:rFonts w:ascii="Arial" w:hAnsi="Arial" w:cs="Arial"/>
          <w:sz w:val="16"/>
          <w:szCs w:val="20"/>
        </w:rPr>
      </w:pPr>
    </w:p>
    <w:p w14:paraId="0F482B60" w14:textId="1BAE0295" w:rsidR="00884757" w:rsidRDefault="002B152E" w:rsidP="00257ADD">
      <w:pPr>
        <w:suppressAutoHyphens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Silma Sousa Paula</w:t>
      </w:r>
      <w:r w:rsidR="0046664D" w:rsidRPr="00477FAD">
        <w:rPr>
          <w:rStyle w:val="Refdenotaderodap1"/>
          <w:rFonts w:ascii="Arial" w:hAnsi="Arial" w:cs="Arial"/>
          <w:sz w:val="22"/>
          <w:szCs w:val="22"/>
        </w:rPr>
        <w:footnoteReference w:id="1"/>
      </w:r>
      <w:r w:rsidR="0046664D" w:rsidRPr="00477FAD">
        <w:rPr>
          <w:rFonts w:ascii="Arial" w:hAnsi="Arial" w:cs="Arial"/>
          <w:sz w:val="22"/>
          <w:szCs w:val="22"/>
        </w:rPr>
        <w:t xml:space="preserve">*, </w:t>
      </w:r>
      <w:r>
        <w:rPr>
          <w:rFonts w:ascii="Arial" w:hAnsi="Arial" w:cs="Arial"/>
          <w:sz w:val="22"/>
          <w:szCs w:val="22"/>
        </w:rPr>
        <w:t>Marcus Vinícius Henriques Brito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46664D" w:rsidRPr="00477F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Mariseth Carvalho de Andrade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46664D" w:rsidRPr="00477FAD">
        <w:rPr>
          <w:rFonts w:ascii="Arial" w:hAnsi="Arial" w:cs="Arial"/>
          <w:sz w:val="22"/>
          <w:szCs w:val="22"/>
        </w:rPr>
        <w:t>.</w:t>
      </w:r>
    </w:p>
    <w:p w14:paraId="2C94A5C9" w14:textId="14EB3196" w:rsidR="0046664D" w:rsidRPr="00477FAD" w:rsidRDefault="00B83B33" w:rsidP="00477FAD">
      <w:p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12121"/>
          <w:sz w:val="20"/>
          <w:szCs w:val="20"/>
        </w:rPr>
        <w:pict w14:anchorId="50B9C541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CFB1020" w14:textId="74BD7916" w:rsidR="00CD52BA" w:rsidRPr="00477FAD" w:rsidRDefault="00CD52BA" w:rsidP="00477FAD">
      <w:pPr>
        <w:spacing w:after="120" w:line="276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477FAD">
        <w:rPr>
          <w:rFonts w:ascii="Arial" w:hAnsi="Arial" w:cs="Arial"/>
          <w:b/>
          <w:sz w:val="20"/>
          <w:szCs w:val="20"/>
        </w:rPr>
        <w:t>RESUMO</w:t>
      </w:r>
      <w:r w:rsidR="00433CCC" w:rsidRPr="00477FAD">
        <w:rPr>
          <w:rFonts w:ascii="Arial" w:hAnsi="Arial" w:cs="Arial"/>
          <w:b/>
          <w:sz w:val="20"/>
          <w:szCs w:val="20"/>
        </w:rPr>
        <w:t xml:space="preserve"> </w:t>
      </w:r>
    </w:p>
    <w:p w14:paraId="64AB8EF7" w14:textId="2592206D" w:rsidR="00CD52BA" w:rsidRPr="00477FAD" w:rsidRDefault="00433CCC" w:rsidP="00477FAD">
      <w:pPr>
        <w:spacing w:after="12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477FAD">
        <w:rPr>
          <w:rFonts w:ascii="Arial" w:hAnsi="Arial" w:cs="Arial"/>
          <w:b/>
          <w:sz w:val="20"/>
          <w:szCs w:val="20"/>
        </w:rPr>
        <w:t>Objetivo</w:t>
      </w:r>
      <w:r w:rsidR="00351AB4" w:rsidRPr="00477FAD">
        <w:rPr>
          <w:rFonts w:ascii="Arial" w:hAnsi="Arial" w:cs="Arial"/>
          <w:b/>
          <w:sz w:val="20"/>
          <w:szCs w:val="20"/>
        </w:rPr>
        <w:t xml:space="preserve">: </w:t>
      </w:r>
      <w:r w:rsidR="008C06F1" w:rsidRPr="008C06F1">
        <w:rPr>
          <w:rFonts w:ascii="Arial" w:hAnsi="Arial" w:cs="Arial"/>
          <w:sz w:val="20"/>
          <w:szCs w:val="20"/>
        </w:rPr>
        <w:t>Descrever o Sistema de Segurança e Saúde Ocupacional Hospitalar (SSOH) em centro cirúrgico (CC)</w:t>
      </w:r>
      <w:r w:rsidR="008C06F1">
        <w:rPr>
          <w:rFonts w:ascii="Arial" w:hAnsi="Arial" w:cs="Arial"/>
          <w:sz w:val="20"/>
          <w:szCs w:val="20"/>
        </w:rPr>
        <w:t xml:space="preserve">, desenvolvido </w:t>
      </w:r>
      <w:r w:rsidR="008C06F1" w:rsidRPr="008C06F1">
        <w:rPr>
          <w:rFonts w:ascii="Arial" w:hAnsi="Arial" w:cs="Arial"/>
          <w:sz w:val="20"/>
          <w:szCs w:val="20"/>
        </w:rPr>
        <w:t>a partir da N</w:t>
      </w:r>
      <w:r w:rsidR="008C06F1">
        <w:rPr>
          <w:rFonts w:ascii="Arial" w:hAnsi="Arial" w:cs="Arial"/>
          <w:sz w:val="20"/>
          <w:szCs w:val="20"/>
        </w:rPr>
        <w:t>orma Regulamentadora - N</w:t>
      </w:r>
      <w:r w:rsidR="008C06F1" w:rsidRPr="008C06F1">
        <w:rPr>
          <w:rFonts w:ascii="Arial" w:hAnsi="Arial" w:cs="Arial"/>
          <w:sz w:val="20"/>
          <w:szCs w:val="20"/>
        </w:rPr>
        <w:t>R 32</w:t>
      </w:r>
      <w:r w:rsidR="00572606">
        <w:rPr>
          <w:rFonts w:ascii="Arial" w:hAnsi="Arial" w:cs="Arial"/>
          <w:sz w:val="20"/>
          <w:szCs w:val="20"/>
        </w:rPr>
        <w:t xml:space="preserve">. </w:t>
      </w:r>
      <w:r w:rsidRPr="00477FAD">
        <w:rPr>
          <w:rFonts w:ascii="Arial" w:hAnsi="Arial" w:cs="Arial"/>
          <w:b/>
          <w:sz w:val="20"/>
          <w:szCs w:val="20"/>
        </w:rPr>
        <w:t>Métodos</w:t>
      </w:r>
      <w:r w:rsidR="00161494">
        <w:rPr>
          <w:rFonts w:ascii="Arial" w:hAnsi="Arial" w:cs="Arial"/>
          <w:b/>
          <w:sz w:val="20"/>
          <w:szCs w:val="20"/>
        </w:rPr>
        <w:t xml:space="preserve">: </w:t>
      </w:r>
      <w:r w:rsidR="00161494" w:rsidRPr="00161494">
        <w:rPr>
          <w:rFonts w:ascii="Arial" w:hAnsi="Arial" w:cs="Arial"/>
          <w:sz w:val="20"/>
          <w:szCs w:val="20"/>
        </w:rPr>
        <w:t xml:space="preserve">Trata-se de </w:t>
      </w:r>
      <w:r w:rsidR="00161494">
        <w:rPr>
          <w:rFonts w:ascii="Arial" w:hAnsi="Arial" w:cs="Arial"/>
          <w:sz w:val="20"/>
          <w:szCs w:val="20"/>
        </w:rPr>
        <w:t>estudo quanti</w:t>
      </w:r>
      <w:r w:rsidR="0045793D">
        <w:rPr>
          <w:rFonts w:ascii="Arial" w:hAnsi="Arial" w:cs="Arial"/>
          <w:sz w:val="20"/>
          <w:szCs w:val="20"/>
        </w:rPr>
        <w:t>tativo</w:t>
      </w:r>
      <w:r w:rsidR="00161494" w:rsidRPr="00161494">
        <w:rPr>
          <w:rFonts w:ascii="Arial" w:hAnsi="Arial" w:cs="Arial"/>
          <w:sz w:val="20"/>
          <w:szCs w:val="20"/>
        </w:rPr>
        <w:t xml:space="preserve">, </w:t>
      </w:r>
      <w:r w:rsidR="00161494">
        <w:rPr>
          <w:rFonts w:ascii="Arial" w:hAnsi="Arial" w:cs="Arial"/>
          <w:sz w:val="20"/>
          <w:szCs w:val="20"/>
        </w:rPr>
        <w:t>conduzido</w:t>
      </w:r>
      <w:r w:rsidR="00161494" w:rsidRPr="00161494">
        <w:rPr>
          <w:rFonts w:ascii="Arial" w:hAnsi="Arial" w:cs="Arial"/>
          <w:sz w:val="20"/>
          <w:szCs w:val="20"/>
        </w:rPr>
        <w:t xml:space="preserve"> com profissionais da saúde </w:t>
      </w:r>
      <w:r w:rsidR="00572606">
        <w:rPr>
          <w:rFonts w:ascii="Arial" w:hAnsi="Arial" w:cs="Arial"/>
          <w:sz w:val="20"/>
          <w:szCs w:val="20"/>
        </w:rPr>
        <w:t>do</w:t>
      </w:r>
      <w:r w:rsidR="00161494" w:rsidRPr="00161494">
        <w:rPr>
          <w:rFonts w:ascii="Arial" w:hAnsi="Arial" w:cs="Arial"/>
          <w:sz w:val="20"/>
          <w:szCs w:val="20"/>
        </w:rPr>
        <w:t xml:space="preserve"> centro cirúrgico do Hospital São Rafael, na cidade de Imperatriz</w:t>
      </w:r>
      <w:r w:rsidR="00161494">
        <w:rPr>
          <w:rFonts w:ascii="Arial" w:hAnsi="Arial" w:cs="Arial"/>
          <w:sz w:val="20"/>
          <w:szCs w:val="20"/>
        </w:rPr>
        <w:t>-MA</w:t>
      </w:r>
      <w:r w:rsidR="00161494" w:rsidRPr="00161494">
        <w:rPr>
          <w:rFonts w:ascii="Arial" w:hAnsi="Arial" w:cs="Arial"/>
          <w:sz w:val="20"/>
          <w:szCs w:val="20"/>
        </w:rPr>
        <w:t>. O público da pesquisa foi composto por onze profissionais da equipe multidisciplinar</w:t>
      </w:r>
      <w:r w:rsidR="00161494">
        <w:rPr>
          <w:rFonts w:ascii="Arial" w:hAnsi="Arial" w:cs="Arial"/>
          <w:sz w:val="20"/>
          <w:szCs w:val="20"/>
        </w:rPr>
        <w:t xml:space="preserve"> do referido hospital</w:t>
      </w:r>
      <w:r w:rsidR="00161494" w:rsidRPr="00161494">
        <w:rPr>
          <w:rFonts w:ascii="Arial" w:hAnsi="Arial" w:cs="Arial"/>
          <w:sz w:val="20"/>
          <w:szCs w:val="20"/>
        </w:rPr>
        <w:t xml:space="preserve">, denominados </w:t>
      </w:r>
      <w:r w:rsidR="00161494">
        <w:rPr>
          <w:rFonts w:ascii="Arial" w:hAnsi="Arial" w:cs="Arial"/>
          <w:sz w:val="20"/>
          <w:szCs w:val="20"/>
        </w:rPr>
        <w:t>“</w:t>
      </w:r>
      <w:r w:rsidR="00161494" w:rsidRPr="00161494">
        <w:rPr>
          <w:rFonts w:ascii="Arial" w:hAnsi="Arial" w:cs="Arial"/>
          <w:sz w:val="20"/>
          <w:szCs w:val="20"/>
        </w:rPr>
        <w:t>juízes especialistas</w:t>
      </w:r>
      <w:r w:rsidR="00161494">
        <w:rPr>
          <w:rFonts w:ascii="Arial" w:hAnsi="Arial" w:cs="Arial"/>
          <w:sz w:val="20"/>
          <w:szCs w:val="20"/>
        </w:rPr>
        <w:t>”</w:t>
      </w:r>
      <w:r w:rsidR="00161494" w:rsidRPr="00161494">
        <w:rPr>
          <w:rFonts w:ascii="Arial" w:hAnsi="Arial" w:cs="Arial"/>
          <w:sz w:val="20"/>
          <w:szCs w:val="20"/>
        </w:rPr>
        <w:t xml:space="preserve">. A coleta de dados foi realizada por meio da aplicação de um </w:t>
      </w:r>
      <w:r w:rsidR="00572606">
        <w:rPr>
          <w:rFonts w:ascii="Arial" w:hAnsi="Arial" w:cs="Arial"/>
          <w:sz w:val="20"/>
          <w:szCs w:val="20"/>
        </w:rPr>
        <w:t>formulário</w:t>
      </w:r>
      <w:r w:rsidR="00161494" w:rsidRPr="00161494">
        <w:rPr>
          <w:rFonts w:ascii="Arial" w:hAnsi="Arial" w:cs="Arial"/>
          <w:sz w:val="20"/>
          <w:szCs w:val="20"/>
        </w:rPr>
        <w:t>, contendo os itens que compõem a plataforma de gestão SSOH. A avaliação dos itens foi conduzida a partir da escala Likert e os dados foram analisados por meio do Coeficiente Alfa de Cronbach</w:t>
      </w:r>
      <w:r w:rsidR="00161494">
        <w:rPr>
          <w:rFonts w:ascii="Arial" w:hAnsi="Arial" w:cs="Arial"/>
          <w:sz w:val="20"/>
          <w:szCs w:val="20"/>
        </w:rPr>
        <w:t>.</w:t>
      </w:r>
      <w:r w:rsidRPr="00477FAD">
        <w:rPr>
          <w:rFonts w:ascii="Arial" w:hAnsi="Arial" w:cs="Arial"/>
          <w:sz w:val="20"/>
          <w:szCs w:val="20"/>
        </w:rPr>
        <w:t xml:space="preserve"> </w:t>
      </w:r>
      <w:r w:rsidRPr="00477FAD">
        <w:rPr>
          <w:rFonts w:ascii="Arial" w:hAnsi="Arial" w:cs="Arial"/>
          <w:b/>
          <w:sz w:val="20"/>
          <w:szCs w:val="20"/>
        </w:rPr>
        <w:t>Resultados</w:t>
      </w:r>
      <w:r w:rsidR="00351AB4" w:rsidRPr="00477FAD">
        <w:rPr>
          <w:rFonts w:ascii="Arial" w:hAnsi="Arial" w:cs="Arial"/>
          <w:b/>
          <w:sz w:val="20"/>
          <w:szCs w:val="20"/>
        </w:rPr>
        <w:t>:</w:t>
      </w:r>
      <w:r w:rsidRPr="00477FAD">
        <w:rPr>
          <w:rFonts w:ascii="Arial" w:hAnsi="Arial" w:cs="Arial"/>
          <w:sz w:val="20"/>
          <w:szCs w:val="20"/>
        </w:rPr>
        <w:t xml:space="preserve"> </w:t>
      </w:r>
      <w:r w:rsidR="00572606">
        <w:rPr>
          <w:rFonts w:ascii="Arial" w:hAnsi="Arial" w:cs="Arial"/>
          <w:sz w:val="20"/>
          <w:szCs w:val="20"/>
        </w:rPr>
        <w:t>Os “juízes especialistas” compostos por</w:t>
      </w:r>
      <w:r w:rsidR="00161494">
        <w:rPr>
          <w:rFonts w:ascii="Arial" w:hAnsi="Arial" w:cs="Arial"/>
          <w:sz w:val="20"/>
          <w:szCs w:val="20"/>
        </w:rPr>
        <w:t xml:space="preserve"> enfermeiros do trabalho, médico do trabalho, assistente social, fisioterapeutas e </w:t>
      </w:r>
      <w:r w:rsidR="00572606">
        <w:rPr>
          <w:rFonts w:ascii="Arial" w:hAnsi="Arial" w:cs="Arial"/>
          <w:sz w:val="20"/>
          <w:szCs w:val="20"/>
        </w:rPr>
        <w:t>outros</w:t>
      </w:r>
      <w:r w:rsidR="00161494">
        <w:rPr>
          <w:rFonts w:ascii="Arial" w:hAnsi="Arial" w:cs="Arial"/>
          <w:sz w:val="20"/>
          <w:szCs w:val="20"/>
        </w:rPr>
        <w:t xml:space="preserve"> </w:t>
      </w:r>
      <w:r w:rsidR="00572606">
        <w:rPr>
          <w:rFonts w:ascii="Arial" w:hAnsi="Arial" w:cs="Arial"/>
          <w:sz w:val="20"/>
          <w:szCs w:val="20"/>
        </w:rPr>
        <w:t xml:space="preserve">avaliaram a plataforma </w:t>
      </w:r>
      <w:r w:rsidR="00161494">
        <w:rPr>
          <w:rFonts w:ascii="Arial" w:hAnsi="Arial" w:cs="Arial"/>
          <w:sz w:val="20"/>
          <w:szCs w:val="20"/>
        </w:rPr>
        <w:t>conforme critérios de funcionalidade e utilidade</w:t>
      </w:r>
      <w:r w:rsidR="00161494" w:rsidRPr="00161494">
        <w:rPr>
          <w:rFonts w:ascii="Arial" w:hAnsi="Arial" w:cs="Arial"/>
          <w:sz w:val="20"/>
          <w:szCs w:val="20"/>
        </w:rPr>
        <w:t>. A análise estatística indicou um índice de confiabilidade de 0,846</w:t>
      </w:r>
      <w:r w:rsidR="00161494">
        <w:rPr>
          <w:rFonts w:ascii="Arial" w:hAnsi="Arial" w:cs="Arial"/>
          <w:sz w:val="20"/>
          <w:szCs w:val="20"/>
        </w:rPr>
        <w:t xml:space="preserve"> (Alpha de Crombach)</w:t>
      </w:r>
      <w:r w:rsidR="00161494" w:rsidRPr="00161494">
        <w:rPr>
          <w:rFonts w:ascii="Arial" w:hAnsi="Arial" w:cs="Arial"/>
          <w:sz w:val="20"/>
          <w:szCs w:val="20"/>
        </w:rPr>
        <w:t>, o que demonstra uma alta concordância entre os juízes quanto à validade dos itens da plataforma</w:t>
      </w:r>
      <w:r w:rsidRPr="00477FAD">
        <w:rPr>
          <w:rFonts w:ascii="Arial" w:hAnsi="Arial" w:cs="Arial"/>
          <w:sz w:val="20"/>
          <w:szCs w:val="20"/>
        </w:rPr>
        <w:t xml:space="preserve">. </w:t>
      </w:r>
      <w:r w:rsidRPr="00477FAD">
        <w:rPr>
          <w:rFonts w:ascii="Arial" w:hAnsi="Arial" w:cs="Arial"/>
          <w:b/>
          <w:sz w:val="20"/>
          <w:szCs w:val="20"/>
        </w:rPr>
        <w:t>Conclusão</w:t>
      </w:r>
      <w:r w:rsidR="00161494">
        <w:rPr>
          <w:rFonts w:ascii="Arial" w:hAnsi="Arial" w:cs="Arial"/>
          <w:b/>
          <w:sz w:val="20"/>
          <w:szCs w:val="20"/>
        </w:rPr>
        <w:t>:</w:t>
      </w:r>
      <w:r w:rsidR="00351AB4" w:rsidRPr="00477FAD">
        <w:rPr>
          <w:rFonts w:ascii="Arial" w:hAnsi="Arial" w:cs="Arial"/>
          <w:b/>
          <w:sz w:val="20"/>
          <w:szCs w:val="20"/>
        </w:rPr>
        <w:t xml:space="preserve"> </w:t>
      </w:r>
      <w:r w:rsidR="00572606" w:rsidRPr="00572606">
        <w:rPr>
          <w:rFonts w:ascii="Arial" w:hAnsi="Arial" w:cs="Arial"/>
          <w:bCs/>
          <w:sz w:val="20"/>
          <w:szCs w:val="20"/>
        </w:rPr>
        <w:t>Concluiu-se</w:t>
      </w:r>
      <w:r w:rsidR="00572606">
        <w:rPr>
          <w:rFonts w:ascii="Arial" w:hAnsi="Arial" w:cs="Arial"/>
          <w:bCs/>
          <w:sz w:val="20"/>
          <w:szCs w:val="20"/>
        </w:rPr>
        <w:t xml:space="preserve"> </w:t>
      </w:r>
      <w:r w:rsidR="00572606" w:rsidRPr="00572606">
        <w:rPr>
          <w:rFonts w:ascii="Arial" w:hAnsi="Arial" w:cs="Arial"/>
          <w:bCs/>
          <w:sz w:val="20"/>
          <w:szCs w:val="20"/>
        </w:rPr>
        <w:t>que</w:t>
      </w:r>
      <w:r w:rsidR="00572606">
        <w:rPr>
          <w:rFonts w:ascii="Arial" w:hAnsi="Arial" w:cs="Arial"/>
          <w:b/>
          <w:sz w:val="20"/>
          <w:szCs w:val="20"/>
        </w:rPr>
        <w:t xml:space="preserve"> </w:t>
      </w:r>
      <w:r w:rsidR="00572606">
        <w:rPr>
          <w:rFonts w:ascii="Arial" w:hAnsi="Arial" w:cs="Arial"/>
          <w:sz w:val="20"/>
          <w:szCs w:val="20"/>
        </w:rPr>
        <w:t>a</w:t>
      </w:r>
      <w:r w:rsidR="00161494" w:rsidRPr="00161494">
        <w:rPr>
          <w:rFonts w:ascii="Arial" w:hAnsi="Arial" w:cs="Arial"/>
          <w:sz w:val="20"/>
          <w:szCs w:val="20"/>
        </w:rPr>
        <w:t xml:space="preserve"> plataforma SSOH constitui uma inovação tecnológica eficaz para gestão de riscos ocupacionais</w:t>
      </w:r>
      <w:r w:rsidR="00161494">
        <w:rPr>
          <w:rFonts w:ascii="Arial" w:hAnsi="Arial" w:cs="Arial"/>
          <w:sz w:val="20"/>
          <w:szCs w:val="20"/>
        </w:rPr>
        <w:t>, projetada para otimizar os processos de trabalho no ambiente hospitalar e reduzir a incidência de acidentes no local de trabalho</w:t>
      </w:r>
      <w:r w:rsidR="00572606">
        <w:rPr>
          <w:rFonts w:ascii="Arial" w:hAnsi="Arial" w:cs="Arial"/>
          <w:sz w:val="20"/>
          <w:szCs w:val="20"/>
        </w:rPr>
        <w:t>.</w:t>
      </w:r>
      <w:r w:rsidR="00CD52BA" w:rsidRPr="00477FAD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D2651E9" w14:textId="13899275" w:rsidR="00351AB4" w:rsidRPr="00477FAD" w:rsidRDefault="00351AB4" w:rsidP="00477FAD">
      <w:pPr>
        <w:spacing w:after="12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477FAD">
        <w:rPr>
          <w:rFonts w:ascii="Arial" w:hAnsi="Arial" w:cs="Arial"/>
          <w:b/>
          <w:sz w:val="20"/>
          <w:szCs w:val="20"/>
        </w:rPr>
        <w:t xml:space="preserve">Palavras-chave: </w:t>
      </w:r>
      <w:r w:rsidR="00572606">
        <w:rPr>
          <w:rFonts w:ascii="Arial" w:hAnsi="Arial" w:cs="Arial"/>
          <w:sz w:val="20"/>
          <w:szCs w:val="20"/>
        </w:rPr>
        <w:t>Segurança do Trabalhador</w:t>
      </w:r>
      <w:r w:rsidRPr="00477FAD">
        <w:rPr>
          <w:rFonts w:ascii="Arial" w:hAnsi="Arial" w:cs="Arial"/>
          <w:sz w:val="20"/>
          <w:szCs w:val="20"/>
        </w:rPr>
        <w:t xml:space="preserve">, </w:t>
      </w:r>
      <w:r w:rsidR="00572606">
        <w:rPr>
          <w:rFonts w:ascii="Arial" w:hAnsi="Arial" w:cs="Arial"/>
          <w:sz w:val="20"/>
          <w:szCs w:val="20"/>
        </w:rPr>
        <w:t>Gestão</w:t>
      </w:r>
      <w:r w:rsidRPr="00477FAD">
        <w:rPr>
          <w:rFonts w:ascii="Arial" w:hAnsi="Arial" w:cs="Arial"/>
          <w:sz w:val="20"/>
          <w:szCs w:val="20"/>
        </w:rPr>
        <w:t>,</w:t>
      </w:r>
      <w:r w:rsidR="00572606">
        <w:rPr>
          <w:rFonts w:ascii="Arial" w:hAnsi="Arial" w:cs="Arial"/>
          <w:sz w:val="20"/>
          <w:szCs w:val="20"/>
        </w:rPr>
        <w:t xml:space="preserve"> Centro Cirúrgico, Norma Regulamentadora NR- 32, Saúde Ocupacional.</w:t>
      </w:r>
    </w:p>
    <w:p w14:paraId="67F653AF" w14:textId="48221B54" w:rsidR="00CD52BA" w:rsidRPr="00477FAD" w:rsidRDefault="00B83B33" w:rsidP="00477FAD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 w14:anchorId="209099E5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FF55CE1" w14:textId="30FEA89A" w:rsidR="00CD52BA" w:rsidRPr="00CD208C" w:rsidRDefault="00CD52BA" w:rsidP="00477FAD">
      <w:pPr>
        <w:spacing w:before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D208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ABSTRACT</w:t>
      </w:r>
      <w:r w:rsidR="00A856D1" w:rsidRPr="00CD208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</w:p>
    <w:p w14:paraId="3417FDB3" w14:textId="04A32BFE" w:rsidR="00F16E1B" w:rsidRPr="00F16E1B" w:rsidRDefault="00F16E1B" w:rsidP="00F16E1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16E1B">
        <w:rPr>
          <w:rFonts w:ascii="Arial" w:hAnsi="Arial" w:cs="Arial"/>
          <w:b/>
          <w:bCs/>
          <w:sz w:val="20"/>
          <w:szCs w:val="20"/>
          <w:lang w:val="en-US"/>
        </w:rPr>
        <w:t>Objective:</w:t>
      </w:r>
      <w:r w:rsidRPr="00F16E1B">
        <w:rPr>
          <w:rFonts w:ascii="Arial" w:hAnsi="Arial" w:cs="Arial"/>
          <w:sz w:val="20"/>
          <w:szCs w:val="20"/>
          <w:lang w:val="en-US"/>
        </w:rPr>
        <w:t xml:space="preserve"> To describe the Hospital Occupational Health and Safety System (SSOH) in the surgical center (SC</w:t>
      </w:r>
      <w:proofErr w:type="gramStart"/>
      <w:r w:rsidRPr="00F16E1B">
        <w:rPr>
          <w:rFonts w:ascii="Arial" w:hAnsi="Arial" w:cs="Arial"/>
          <w:sz w:val="20"/>
          <w:szCs w:val="20"/>
          <w:lang w:val="en-US"/>
        </w:rPr>
        <w:t>),</w:t>
      </w:r>
      <w:proofErr w:type="gramEnd"/>
      <w:r w:rsidRPr="00F16E1B">
        <w:rPr>
          <w:rFonts w:ascii="Arial" w:hAnsi="Arial" w:cs="Arial"/>
          <w:sz w:val="20"/>
          <w:szCs w:val="20"/>
          <w:lang w:val="en-US"/>
        </w:rPr>
        <w:t xml:space="preserve"> developed based on Regulatory Standard - NR 32.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16E1B">
        <w:rPr>
          <w:rFonts w:ascii="Arial" w:hAnsi="Arial" w:cs="Arial"/>
          <w:b/>
          <w:bCs/>
          <w:sz w:val="20"/>
          <w:szCs w:val="20"/>
          <w:lang w:val="en-US"/>
        </w:rPr>
        <w:t>Methods:</w:t>
      </w:r>
      <w:r w:rsidRPr="00F16E1B">
        <w:rPr>
          <w:rFonts w:ascii="Arial" w:hAnsi="Arial" w:cs="Arial"/>
          <w:sz w:val="20"/>
          <w:szCs w:val="20"/>
          <w:lang w:val="en-US"/>
        </w:rPr>
        <w:t xml:space="preserve"> This </w:t>
      </w:r>
      <w:r w:rsidR="005763AB">
        <w:rPr>
          <w:rFonts w:ascii="Arial" w:hAnsi="Arial" w:cs="Arial"/>
          <w:sz w:val="20"/>
          <w:szCs w:val="20"/>
          <w:lang w:val="en-US"/>
        </w:rPr>
        <w:t xml:space="preserve">quantitative study </w:t>
      </w:r>
      <w:proofErr w:type="gramStart"/>
      <w:r w:rsidR="005763AB">
        <w:rPr>
          <w:rFonts w:ascii="Arial" w:hAnsi="Arial" w:cs="Arial"/>
          <w:sz w:val="20"/>
          <w:szCs w:val="20"/>
          <w:lang w:val="en-US"/>
        </w:rPr>
        <w:t>was</w:t>
      </w:r>
      <w:r w:rsidRPr="00F16E1B">
        <w:rPr>
          <w:rFonts w:ascii="Arial" w:hAnsi="Arial" w:cs="Arial"/>
          <w:sz w:val="20"/>
          <w:szCs w:val="20"/>
          <w:lang w:val="en-US"/>
        </w:rPr>
        <w:t xml:space="preserve"> conducted</w:t>
      </w:r>
      <w:proofErr w:type="gramEnd"/>
      <w:r w:rsidRPr="00F16E1B">
        <w:rPr>
          <w:rFonts w:ascii="Arial" w:hAnsi="Arial" w:cs="Arial"/>
          <w:sz w:val="20"/>
          <w:szCs w:val="20"/>
          <w:lang w:val="en-US"/>
        </w:rPr>
        <w:t xml:space="preserve"> with healthcare professionals from the surgical center of São Rafael Hospital, located in the city of Imperatriz, </w:t>
      </w:r>
      <w:proofErr w:type="spellStart"/>
      <w:r w:rsidRPr="00F16E1B">
        <w:rPr>
          <w:rFonts w:ascii="Arial" w:hAnsi="Arial" w:cs="Arial"/>
          <w:sz w:val="20"/>
          <w:szCs w:val="20"/>
          <w:lang w:val="en-US"/>
        </w:rPr>
        <w:t>Maranhão</w:t>
      </w:r>
      <w:proofErr w:type="spellEnd"/>
      <w:r w:rsidRPr="00F16E1B">
        <w:rPr>
          <w:rFonts w:ascii="Arial" w:hAnsi="Arial" w:cs="Arial"/>
          <w:sz w:val="20"/>
          <w:szCs w:val="20"/>
          <w:lang w:val="en-US"/>
        </w:rPr>
        <w:t xml:space="preserve">, Brazil. The study population consisted of eleven professionals from the hospital's multidisciplinary team, </w:t>
      </w:r>
      <w:r w:rsidR="005763AB">
        <w:rPr>
          <w:rFonts w:ascii="Arial" w:hAnsi="Arial" w:cs="Arial"/>
          <w:sz w:val="20"/>
          <w:szCs w:val="20"/>
          <w:lang w:val="en-US"/>
        </w:rPr>
        <w:t>called</w:t>
      </w:r>
      <w:r w:rsidRPr="00F16E1B">
        <w:rPr>
          <w:rFonts w:ascii="Arial" w:hAnsi="Arial" w:cs="Arial"/>
          <w:sz w:val="20"/>
          <w:szCs w:val="20"/>
          <w:lang w:val="en-US"/>
        </w:rPr>
        <w:t xml:space="preserve"> "expert judges." Data collection </w:t>
      </w:r>
      <w:proofErr w:type="gramStart"/>
      <w:r w:rsidRPr="00F16E1B">
        <w:rPr>
          <w:rFonts w:ascii="Arial" w:hAnsi="Arial" w:cs="Arial"/>
          <w:sz w:val="20"/>
          <w:szCs w:val="20"/>
          <w:lang w:val="en-US"/>
        </w:rPr>
        <w:t>was carried out</w:t>
      </w:r>
      <w:proofErr w:type="gramEnd"/>
      <w:r w:rsidRPr="00F16E1B">
        <w:rPr>
          <w:rFonts w:ascii="Arial" w:hAnsi="Arial" w:cs="Arial"/>
          <w:sz w:val="20"/>
          <w:szCs w:val="20"/>
          <w:lang w:val="en-US"/>
        </w:rPr>
        <w:t xml:space="preserve"> through the application of a structured form containing the items that compose the SSOH management platform. The evaluation of the items </w:t>
      </w:r>
      <w:proofErr w:type="gramStart"/>
      <w:r w:rsidRPr="00F16E1B">
        <w:rPr>
          <w:rFonts w:ascii="Arial" w:hAnsi="Arial" w:cs="Arial"/>
          <w:sz w:val="20"/>
          <w:szCs w:val="20"/>
          <w:lang w:val="en-US"/>
        </w:rPr>
        <w:t>was conducted</w:t>
      </w:r>
      <w:proofErr w:type="gramEnd"/>
      <w:r w:rsidRPr="00F16E1B">
        <w:rPr>
          <w:rFonts w:ascii="Arial" w:hAnsi="Arial" w:cs="Arial"/>
          <w:sz w:val="20"/>
          <w:szCs w:val="20"/>
          <w:lang w:val="en-US"/>
        </w:rPr>
        <w:t xml:space="preserve"> using a </w:t>
      </w:r>
      <w:proofErr w:type="spellStart"/>
      <w:r w:rsidRPr="00F16E1B">
        <w:rPr>
          <w:rFonts w:ascii="Arial" w:hAnsi="Arial" w:cs="Arial"/>
          <w:sz w:val="20"/>
          <w:szCs w:val="20"/>
          <w:lang w:val="en-US"/>
        </w:rPr>
        <w:t>Likert</w:t>
      </w:r>
      <w:proofErr w:type="spellEnd"/>
      <w:r w:rsidRPr="00F16E1B">
        <w:rPr>
          <w:rFonts w:ascii="Arial" w:hAnsi="Arial" w:cs="Arial"/>
          <w:sz w:val="20"/>
          <w:szCs w:val="20"/>
          <w:lang w:val="en-US"/>
        </w:rPr>
        <w:t xml:space="preserve"> scale, and the data was analy</w:t>
      </w:r>
      <w:r w:rsidR="005763AB">
        <w:rPr>
          <w:rFonts w:ascii="Arial" w:hAnsi="Arial" w:cs="Arial"/>
          <w:sz w:val="20"/>
          <w:szCs w:val="20"/>
          <w:lang w:val="en-US"/>
        </w:rPr>
        <w:t>ze</w:t>
      </w:r>
      <w:r w:rsidRPr="00F16E1B">
        <w:rPr>
          <w:rFonts w:ascii="Arial" w:hAnsi="Arial" w:cs="Arial"/>
          <w:sz w:val="20"/>
          <w:szCs w:val="20"/>
          <w:lang w:val="en-US"/>
        </w:rPr>
        <w:t xml:space="preserve">d using </w:t>
      </w:r>
      <w:proofErr w:type="spellStart"/>
      <w:r w:rsidRPr="00F16E1B">
        <w:rPr>
          <w:rFonts w:ascii="Arial" w:hAnsi="Arial" w:cs="Arial"/>
          <w:sz w:val="20"/>
          <w:szCs w:val="20"/>
          <w:lang w:val="en-US"/>
        </w:rPr>
        <w:t>Cronbach's</w:t>
      </w:r>
      <w:proofErr w:type="spellEnd"/>
      <w:r w:rsidRPr="00F16E1B">
        <w:rPr>
          <w:rFonts w:ascii="Arial" w:hAnsi="Arial" w:cs="Arial"/>
          <w:sz w:val="20"/>
          <w:szCs w:val="20"/>
          <w:lang w:val="en-US"/>
        </w:rPr>
        <w:t xml:space="preserve"> Alpha Coefficient.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16E1B">
        <w:rPr>
          <w:rFonts w:ascii="Arial" w:hAnsi="Arial" w:cs="Arial"/>
          <w:b/>
          <w:bCs/>
          <w:sz w:val="20"/>
          <w:szCs w:val="20"/>
          <w:lang w:val="en-US"/>
        </w:rPr>
        <w:t>Results:</w:t>
      </w:r>
      <w:r w:rsidRPr="00F16E1B">
        <w:rPr>
          <w:rFonts w:ascii="Arial" w:hAnsi="Arial" w:cs="Arial"/>
          <w:sz w:val="20"/>
          <w:szCs w:val="20"/>
          <w:lang w:val="en-US"/>
        </w:rPr>
        <w:t xml:space="preserve"> The “expert judges,” including occupational nurses, occupational physician</w:t>
      </w:r>
      <w:r w:rsidR="005763AB">
        <w:rPr>
          <w:rFonts w:ascii="Arial" w:hAnsi="Arial" w:cs="Arial"/>
          <w:sz w:val="20"/>
          <w:szCs w:val="20"/>
          <w:lang w:val="en-US"/>
        </w:rPr>
        <w:t>s</w:t>
      </w:r>
      <w:r w:rsidRPr="00F16E1B">
        <w:rPr>
          <w:rFonts w:ascii="Arial" w:hAnsi="Arial" w:cs="Arial"/>
          <w:sz w:val="20"/>
          <w:szCs w:val="20"/>
          <w:lang w:val="en-US"/>
        </w:rPr>
        <w:t>, social worker, physical therapists, and others, evaluated the platform based on criteria of functionality and usefulness. Statistical analysis indicated a reliability index of 0.846 (</w:t>
      </w:r>
      <w:proofErr w:type="spellStart"/>
      <w:r w:rsidRPr="00F16E1B">
        <w:rPr>
          <w:rFonts w:ascii="Arial" w:hAnsi="Arial" w:cs="Arial"/>
          <w:sz w:val="20"/>
          <w:szCs w:val="20"/>
          <w:lang w:val="en-US"/>
        </w:rPr>
        <w:t>Cronbach’s</w:t>
      </w:r>
      <w:proofErr w:type="spellEnd"/>
      <w:r w:rsidRPr="00F16E1B">
        <w:rPr>
          <w:rFonts w:ascii="Arial" w:hAnsi="Arial" w:cs="Arial"/>
          <w:sz w:val="20"/>
          <w:szCs w:val="20"/>
          <w:lang w:val="en-US"/>
        </w:rPr>
        <w:t xml:space="preserve"> Alpha), demonstrating a high level of agreement among the judges regarding the validity of the platform items.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16E1B">
        <w:rPr>
          <w:rFonts w:ascii="Arial" w:hAnsi="Arial" w:cs="Arial"/>
          <w:b/>
          <w:bCs/>
          <w:sz w:val="20"/>
          <w:szCs w:val="20"/>
          <w:lang w:val="en-US"/>
        </w:rPr>
        <w:t>Conclusion:</w:t>
      </w:r>
      <w:r w:rsidRPr="00F16E1B">
        <w:rPr>
          <w:rFonts w:ascii="Arial" w:hAnsi="Arial" w:cs="Arial"/>
          <w:sz w:val="20"/>
          <w:szCs w:val="20"/>
          <w:lang w:val="en-US"/>
        </w:rPr>
        <w:t xml:space="preserve"> It </w:t>
      </w:r>
      <w:proofErr w:type="gramStart"/>
      <w:r w:rsidRPr="00F16E1B">
        <w:rPr>
          <w:rFonts w:ascii="Arial" w:hAnsi="Arial" w:cs="Arial"/>
          <w:sz w:val="20"/>
          <w:szCs w:val="20"/>
          <w:lang w:val="en-US"/>
        </w:rPr>
        <w:t>was concluded</w:t>
      </w:r>
      <w:proofErr w:type="gramEnd"/>
      <w:r w:rsidRPr="00F16E1B">
        <w:rPr>
          <w:rFonts w:ascii="Arial" w:hAnsi="Arial" w:cs="Arial"/>
          <w:sz w:val="20"/>
          <w:szCs w:val="20"/>
          <w:lang w:val="en-US"/>
        </w:rPr>
        <w:t xml:space="preserve"> that the SSOH platform constitutes an effective technological innovation for managing occupational risks, designed to optimize work processes in the hospital environment and reduce the incidence of workplace accidents.</w:t>
      </w:r>
    </w:p>
    <w:p w14:paraId="171BF1F5" w14:textId="5E9B917B" w:rsidR="00CD52BA" w:rsidRPr="00F16E1B" w:rsidRDefault="00CD52BA" w:rsidP="00477FAD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F16E1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lastRenderedPageBreak/>
        <w:t>Key words:</w:t>
      </w:r>
      <w:r w:rsidRPr="00F16E1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F16E1B">
        <w:rPr>
          <w:rFonts w:ascii="Arial" w:hAnsi="Arial" w:cs="Arial"/>
          <w:color w:val="000000" w:themeColor="text1"/>
          <w:sz w:val="20"/>
          <w:szCs w:val="20"/>
          <w:lang w:val="en-US"/>
        </w:rPr>
        <w:t>Worker Safety, Management, Surgical Center, Regulatory Standard NR-32, Occupational Health</w:t>
      </w:r>
      <w:r w:rsidRPr="00F16E1B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B83B33">
        <w:rPr>
          <w:rFonts w:ascii="Arial" w:hAnsi="Arial" w:cs="Arial"/>
          <w:b/>
          <w:noProof/>
          <w:sz w:val="20"/>
          <w:szCs w:val="20"/>
        </w:rPr>
        <w:pict w14:anchorId="666CA2E2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2FA4F2F" w14:textId="171AE27A" w:rsidR="00A83CFC" w:rsidRPr="00477FAD" w:rsidRDefault="00351AB4" w:rsidP="00477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16E1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CD52BA" w:rsidRPr="00477FAD">
        <w:rPr>
          <w:rFonts w:ascii="Arial" w:hAnsi="Arial" w:cs="Arial"/>
          <w:b/>
          <w:color w:val="000000" w:themeColor="text1"/>
          <w:sz w:val="20"/>
          <w:szCs w:val="20"/>
        </w:rPr>
        <w:t>RESUMEN</w:t>
      </w:r>
      <w:r w:rsidR="00546773" w:rsidRPr="00477FA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F280BC5" w14:textId="4BA3037F" w:rsidR="00F16E1B" w:rsidRPr="00F16E1B" w:rsidRDefault="00F16E1B" w:rsidP="00F1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16E1B">
        <w:rPr>
          <w:rFonts w:ascii="Arial" w:hAnsi="Arial" w:cs="Arial"/>
          <w:b/>
          <w:bCs/>
          <w:color w:val="000000" w:themeColor="text1"/>
          <w:sz w:val="20"/>
          <w:szCs w:val="20"/>
        </w:rPr>
        <w:t>Objetivo:</w:t>
      </w:r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Describir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Sistema de Seguridad y Salud Ocupacional Hospitalaria (SSOH)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centro quirúrgico (CQ), desarrollado a partir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Norma Reglamentadora - NR 32</w:t>
      </w:r>
      <w:r w:rsidRPr="00F16E1B">
        <w:rPr>
          <w:rFonts w:ascii="Arial" w:hAnsi="Arial" w:cs="Arial"/>
          <w:b/>
          <w:bCs/>
          <w:color w:val="000000" w:themeColor="text1"/>
          <w:sz w:val="20"/>
          <w:szCs w:val="20"/>
        </w:rPr>
        <w:t>. Métodos:</w:t>
      </w:r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Se trata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un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estudio cuant</w:t>
      </w:r>
      <w:r w:rsidR="0045793D">
        <w:rPr>
          <w:rFonts w:ascii="Arial" w:hAnsi="Arial" w:cs="Arial"/>
          <w:color w:val="000000" w:themeColor="text1"/>
          <w:sz w:val="20"/>
          <w:szCs w:val="20"/>
        </w:rPr>
        <w:t>itativo</w:t>
      </w:r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, realizado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profesionales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salud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del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centro quirúrgico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del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Hospital São Rafael,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ciudad de Imperatriz, estado de Maranhão, Brasil. La muestra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estuvo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compuesta por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once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profesionales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del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equipo multidisciplinario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del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referido hospital, denominados “jueces especialistas”. La recolección de datos se realizó mediante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aplicación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un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formulario estructurado que contenía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ítems que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conforman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plataforma de gestión SSOH. La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evaluación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ítems se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llevó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a cabo utilizando una escala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Likert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datos fueron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analizados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mediante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Coeficiente Alfa de Cronbach.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6E1B">
        <w:rPr>
          <w:rFonts w:ascii="Arial" w:hAnsi="Arial" w:cs="Arial"/>
          <w:b/>
          <w:bCs/>
          <w:color w:val="000000" w:themeColor="text1"/>
          <w:sz w:val="20"/>
          <w:szCs w:val="20"/>
        </w:rPr>
        <w:t>Resultados:</w:t>
      </w:r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Los “jueces especialistas”,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compuestos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por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enfermeros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del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trabajo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, médico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del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trabajo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trabajador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social, fisioterapeutas, entre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otros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evaluaron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plataforma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según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criterios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funcionalidad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utilidad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. El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análisis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estadístico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indicó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un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índice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confiabilidad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de 0,846 (Alfa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Cronbach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lo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que demuestra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un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alto grado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concordancia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entre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jueces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relación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validez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ítems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plataforma.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b/>
          <w:bCs/>
          <w:color w:val="000000" w:themeColor="text1"/>
          <w:sz w:val="20"/>
          <w:szCs w:val="20"/>
        </w:rPr>
        <w:t>Conclusión</w:t>
      </w:r>
      <w:proofErr w:type="spellEnd"/>
      <w:r w:rsidRPr="00F16E1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concluye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que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plataforma SSOH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constituye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una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innovación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tecnológica eficaz para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gestión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riesgos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ocupacionales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diseñada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para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optimizar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procesos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trabajo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entorno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hospitalario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reducir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incidencia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 xml:space="preserve"> de accidentes </w:t>
      </w:r>
      <w:proofErr w:type="spellStart"/>
      <w:r w:rsidRPr="00F16E1B">
        <w:rPr>
          <w:rFonts w:ascii="Arial" w:hAnsi="Arial" w:cs="Arial"/>
          <w:color w:val="000000" w:themeColor="text1"/>
          <w:sz w:val="20"/>
          <w:szCs w:val="20"/>
        </w:rPr>
        <w:t>laborales</w:t>
      </w:r>
      <w:proofErr w:type="spellEnd"/>
      <w:r w:rsidRPr="00F16E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F7CFBF" w14:textId="279FD339" w:rsidR="00351AB4" w:rsidRPr="00EF0397" w:rsidRDefault="00CD52BA" w:rsidP="00477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rPr>
          <w:rFonts w:ascii="Arial" w:hAnsi="Arial" w:cs="Arial"/>
          <w:b/>
          <w:color w:val="000000" w:themeColor="text1"/>
          <w:sz w:val="20"/>
          <w:szCs w:val="20"/>
          <w:lang w:val="es-419"/>
        </w:rPr>
      </w:pPr>
      <w:r w:rsidRPr="00EF0397">
        <w:rPr>
          <w:rFonts w:ascii="Arial" w:hAnsi="Arial" w:cs="Arial"/>
          <w:b/>
          <w:sz w:val="20"/>
          <w:szCs w:val="20"/>
          <w:lang w:val="es-419"/>
        </w:rPr>
        <w:t>Palabras clave:</w:t>
      </w:r>
      <w:r w:rsidRPr="00EF0397">
        <w:rPr>
          <w:rFonts w:ascii="Arial" w:hAnsi="Arial" w:cs="Arial"/>
          <w:sz w:val="20"/>
          <w:szCs w:val="20"/>
          <w:lang w:val="es-419"/>
        </w:rPr>
        <w:t xml:space="preserve"> </w:t>
      </w:r>
      <w:r w:rsidR="00F16E1B">
        <w:rPr>
          <w:rFonts w:ascii="Arial" w:hAnsi="Arial" w:cs="Arial"/>
          <w:sz w:val="20"/>
          <w:szCs w:val="20"/>
          <w:lang w:val="es-419"/>
        </w:rPr>
        <w:t>Seguridad del Trabajador, Gestión, Centro Quirúrgico, Norma Reguladora NR -32, Salud Ocupacional</w:t>
      </w:r>
      <w:r w:rsidRPr="00EF0397">
        <w:rPr>
          <w:rFonts w:ascii="Arial" w:hAnsi="Arial" w:cs="Arial"/>
          <w:b/>
          <w:sz w:val="20"/>
          <w:szCs w:val="20"/>
          <w:lang w:val="es-419"/>
        </w:rPr>
        <w:t>.</w:t>
      </w:r>
      <w:r w:rsidR="00B83B33">
        <w:rPr>
          <w:rFonts w:ascii="Arial" w:hAnsi="Arial" w:cs="Arial"/>
          <w:b/>
          <w:noProof/>
          <w:sz w:val="20"/>
          <w:szCs w:val="20"/>
          <w:lang w:val="es-419"/>
        </w:rPr>
        <w:pict w14:anchorId="1F8E390C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CD9DED5" w14:textId="5E4ED7F7" w:rsidR="00351AB4" w:rsidRPr="008A07E4" w:rsidRDefault="00351AB4" w:rsidP="00477FAD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es-419"/>
        </w:rPr>
      </w:pPr>
    </w:p>
    <w:p w14:paraId="22D97AC8" w14:textId="62725E1B" w:rsidR="0046664D" w:rsidRPr="00477FAD" w:rsidRDefault="0046664D" w:rsidP="00477FAD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7FAD">
        <w:rPr>
          <w:rFonts w:ascii="Arial" w:hAnsi="Arial" w:cs="Arial"/>
          <w:b/>
          <w:bCs/>
          <w:sz w:val="20"/>
          <w:szCs w:val="20"/>
        </w:rPr>
        <w:t xml:space="preserve">INTRODUÇÃO </w:t>
      </w:r>
    </w:p>
    <w:p w14:paraId="1D7B2937" w14:textId="52BCBF6A" w:rsidR="002325B9" w:rsidRDefault="002325B9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325B9">
        <w:rPr>
          <w:rFonts w:ascii="Arial" w:hAnsi="Arial" w:cs="Arial"/>
          <w:sz w:val="20"/>
          <w:szCs w:val="20"/>
        </w:rPr>
        <w:t xml:space="preserve">A </w:t>
      </w:r>
      <w:r w:rsidR="009B4011" w:rsidRPr="002325B9">
        <w:rPr>
          <w:rFonts w:ascii="Arial" w:hAnsi="Arial" w:cs="Arial"/>
          <w:sz w:val="20"/>
          <w:szCs w:val="20"/>
        </w:rPr>
        <w:t>saúde</w:t>
      </w:r>
      <w:r w:rsidRPr="002325B9">
        <w:rPr>
          <w:rFonts w:ascii="Arial" w:hAnsi="Arial" w:cs="Arial"/>
          <w:sz w:val="20"/>
          <w:szCs w:val="20"/>
        </w:rPr>
        <w:t xml:space="preserve"> do trabalhador (ST) configura-se como um campo de </w:t>
      </w:r>
      <w:r w:rsidR="009B4011" w:rsidRPr="002325B9">
        <w:rPr>
          <w:rFonts w:ascii="Arial" w:hAnsi="Arial" w:cs="Arial"/>
          <w:sz w:val="20"/>
          <w:szCs w:val="20"/>
        </w:rPr>
        <w:t>práticas</w:t>
      </w:r>
      <w:r w:rsidRPr="002325B9">
        <w:rPr>
          <w:rFonts w:ascii="Arial" w:hAnsi="Arial" w:cs="Arial"/>
          <w:sz w:val="20"/>
          <w:szCs w:val="20"/>
        </w:rPr>
        <w:t xml:space="preserve"> e de conhecimentos </w:t>
      </w:r>
      <w:r w:rsidR="009B4011" w:rsidRPr="002325B9">
        <w:rPr>
          <w:rFonts w:ascii="Arial" w:hAnsi="Arial" w:cs="Arial"/>
          <w:sz w:val="20"/>
          <w:szCs w:val="20"/>
        </w:rPr>
        <w:t>estratégicos</w:t>
      </w:r>
      <w:r w:rsidRPr="002325B9">
        <w:rPr>
          <w:rFonts w:ascii="Arial" w:hAnsi="Arial" w:cs="Arial"/>
          <w:sz w:val="20"/>
          <w:szCs w:val="20"/>
        </w:rPr>
        <w:t xml:space="preserve"> interdisciplinares - </w:t>
      </w:r>
      <w:r w:rsidR="009B4011" w:rsidRPr="002325B9">
        <w:rPr>
          <w:rFonts w:ascii="Arial" w:hAnsi="Arial" w:cs="Arial"/>
          <w:sz w:val="20"/>
          <w:szCs w:val="20"/>
        </w:rPr>
        <w:t>técnicos</w:t>
      </w:r>
      <w:r w:rsidRPr="002325B9">
        <w:rPr>
          <w:rFonts w:ascii="Arial" w:hAnsi="Arial" w:cs="Arial"/>
          <w:sz w:val="20"/>
          <w:szCs w:val="20"/>
        </w:rPr>
        <w:t xml:space="preserve">, sociais, </w:t>
      </w:r>
      <w:r w:rsidR="009B4011" w:rsidRPr="002325B9">
        <w:rPr>
          <w:rFonts w:ascii="Arial" w:hAnsi="Arial" w:cs="Arial"/>
          <w:sz w:val="20"/>
          <w:szCs w:val="20"/>
        </w:rPr>
        <w:t>políticos</w:t>
      </w:r>
      <w:r w:rsidRPr="002325B9">
        <w:rPr>
          <w:rFonts w:ascii="Arial" w:hAnsi="Arial" w:cs="Arial"/>
          <w:sz w:val="20"/>
          <w:szCs w:val="20"/>
        </w:rPr>
        <w:t xml:space="preserve">, humanos -, multiprofissionais e interinstitucionais, voltados para analisar e intervir nas </w:t>
      </w:r>
      <w:r w:rsidR="009B4011" w:rsidRPr="002325B9">
        <w:rPr>
          <w:rFonts w:ascii="Arial" w:hAnsi="Arial" w:cs="Arial"/>
          <w:sz w:val="20"/>
          <w:szCs w:val="20"/>
        </w:rPr>
        <w:t>relações</w:t>
      </w:r>
      <w:r w:rsidRPr="002325B9">
        <w:rPr>
          <w:rFonts w:ascii="Arial" w:hAnsi="Arial" w:cs="Arial"/>
          <w:sz w:val="20"/>
          <w:szCs w:val="20"/>
        </w:rPr>
        <w:t xml:space="preserve"> de trabalho que provocam </w:t>
      </w:r>
      <w:r w:rsidR="009B4011" w:rsidRPr="002325B9">
        <w:rPr>
          <w:rFonts w:ascii="Arial" w:hAnsi="Arial" w:cs="Arial"/>
          <w:sz w:val="20"/>
          <w:szCs w:val="20"/>
        </w:rPr>
        <w:t>doenças</w:t>
      </w:r>
      <w:r w:rsidRPr="002325B9">
        <w:rPr>
          <w:rFonts w:ascii="Arial" w:hAnsi="Arial" w:cs="Arial"/>
          <w:sz w:val="20"/>
          <w:szCs w:val="20"/>
        </w:rPr>
        <w:t xml:space="preserve"> e agravos</w:t>
      </w:r>
      <w:r w:rsidR="00D053A2">
        <w:rPr>
          <w:rFonts w:ascii="Arial" w:hAnsi="Arial" w:cs="Arial"/>
          <w:sz w:val="20"/>
          <w:szCs w:val="20"/>
        </w:rPr>
        <w:t xml:space="preserve"> (</w:t>
      </w:r>
      <w:r w:rsidR="003A7008">
        <w:rPr>
          <w:rFonts w:ascii="Arial" w:hAnsi="Arial" w:cs="Arial"/>
          <w:sz w:val="20"/>
          <w:szCs w:val="20"/>
        </w:rPr>
        <w:t xml:space="preserve">GOMEZ et. al., </w:t>
      </w:r>
      <w:r w:rsidR="00D053A2">
        <w:rPr>
          <w:rFonts w:ascii="Arial" w:hAnsi="Arial" w:cs="Arial"/>
          <w:sz w:val="20"/>
          <w:szCs w:val="20"/>
        </w:rPr>
        <w:t>2018)</w:t>
      </w:r>
      <w:r w:rsidRPr="002325B9">
        <w:rPr>
          <w:rFonts w:ascii="Arial" w:hAnsi="Arial" w:cs="Arial"/>
          <w:sz w:val="20"/>
          <w:szCs w:val="20"/>
        </w:rPr>
        <w:t xml:space="preserve">. </w:t>
      </w:r>
      <w:r w:rsidR="00D053A2">
        <w:rPr>
          <w:rFonts w:ascii="Arial" w:hAnsi="Arial" w:cs="Arial"/>
          <w:sz w:val="20"/>
          <w:szCs w:val="20"/>
        </w:rPr>
        <w:t xml:space="preserve">Considerando que as condições em que o trabalho é exercido são fatores determinantes para a ocorrência de doenças e agravos, a análise de riscos ocupacionais torna-se essencial para a identificação dos processos de adoecimento. Assim, consolidou-se </w:t>
      </w:r>
      <w:r w:rsidR="00346D75">
        <w:rPr>
          <w:rFonts w:ascii="Arial" w:hAnsi="Arial" w:cs="Arial"/>
          <w:sz w:val="20"/>
          <w:szCs w:val="20"/>
        </w:rPr>
        <w:t>a</w:t>
      </w:r>
      <w:r w:rsidR="00D053A2">
        <w:rPr>
          <w:rFonts w:ascii="Arial" w:hAnsi="Arial" w:cs="Arial"/>
          <w:sz w:val="20"/>
          <w:szCs w:val="20"/>
        </w:rPr>
        <w:t xml:space="preserve"> área da saúde</w:t>
      </w:r>
      <w:r w:rsidR="00346D75">
        <w:rPr>
          <w:rFonts w:ascii="Arial" w:hAnsi="Arial" w:cs="Arial"/>
          <w:sz w:val="20"/>
          <w:szCs w:val="20"/>
        </w:rPr>
        <w:t xml:space="preserve"> em comento, a qual </w:t>
      </w:r>
      <w:r w:rsidR="00D053A2">
        <w:rPr>
          <w:rFonts w:ascii="Arial" w:hAnsi="Arial" w:cs="Arial"/>
          <w:sz w:val="20"/>
          <w:szCs w:val="20"/>
        </w:rPr>
        <w:t xml:space="preserve">visa </w:t>
      </w:r>
      <w:r w:rsidR="009505DB">
        <w:rPr>
          <w:rFonts w:ascii="Arial" w:hAnsi="Arial" w:cs="Arial"/>
          <w:sz w:val="20"/>
          <w:szCs w:val="20"/>
        </w:rPr>
        <w:t>à</w:t>
      </w:r>
      <w:r w:rsidR="00D053A2">
        <w:rPr>
          <w:rFonts w:ascii="Arial" w:hAnsi="Arial" w:cs="Arial"/>
          <w:sz w:val="20"/>
          <w:szCs w:val="20"/>
        </w:rPr>
        <w:t xml:space="preserve"> promoção e </w:t>
      </w:r>
      <w:r w:rsidR="009505DB">
        <w:rPr>
          <w:rFonts w:ascii="Arial" w:hAnsi="Arial" w:cs="Arial"/>
          <w:sz w:val="20"/>
          <w:szCs w:val="20"/>
        </w:rPr>
        <w:t>à</w:t>
      </w:r>
      <w:r w:rsidR="00D053A2">
        <w:rPr>
          <w:rFonts w:ascii="Arial" w:hAnsi="Arial" w:cs="Arial"/>
          <w:sz w:val="20"/>
          <w:szCs w:val="20"/>
        </w:rPr>
        <w:t xml:space="preserve"> proteção da saúde </w:t>
      </w:r>
      <w:r w:rsidR="00346D75">
        <w:rPr>
          <w:rFonts w:ascii="Arial" w:hAnsi="Arial" w:cs="Arial"/>
          <w:sz w:val="20"/>
          <w:szCs w:val="20"/>
        </w:rPr>
        <w:t xml:space="preserve">desse setor populacional e </w:t>
      </w:r>
      <w:r w:rsidR="009505DB">
        <w:rPr>
          <w:rFonts w:ascii="Arial" w:hAnsi="Arial" w:cs="Arial"/>
          <w:sz w:val="20"/>
          <w:szCs w:val="20"/>
        </w:rPr>
        <w:t>à</w:t>
      </w:r>
      <w:r w:rsidR="00346D75">
        <w:rPr>
          <w:rFonts w:ascii="Arial" w:hAnsi="Arial" w:cs="Arial"/>
          <w:sz w:val="20"/>
          <w:szCs w:val="20"/>
        </w:rPr>
        <w:t xml:space="preserve"> redução da morbimortalidade (</w:t>
      </w:r>
      <w:r w:rsidR="003A7008">
        <w:rPr>
          <w:rFonts w:ascii="Arial" w:hAnsi="Arial" w:cs="Arial"/>
          <w:sz w:val="20"/>
          <w:szCs w:val="20"/>
        </w:rPr>
        <w:t>BRASIL,</w:t>
      </w:r>
      <w:r w:rsidR="00346D75">
        <w:rPr>
          <w:rFonts w:ascii="Arial" w:hAnsi="Arial" w:cs="Arial"/>
          <w:sz w:val="20"/>
          <w:szCs w:val="20"/>
        </w:rPr>
        <w:t xml:space="preserve"> 2012), cujos </w:t>
      </w:r>
      <w:r w:rsidRPr="002325B9">
        <w:rPr>
          <w:rFonts w:ascii="Arial" w:hAnsi="Arial" w:cs="Arial"/>
          <w:sz w:val="20"/>
          <w:szCs w:val="20"/>
        </w:rPr>
        <w:t xml:space="preserve">marcos referenciais </w:t>
      </w:r>
      <w:r w:rsidR="009B4011" w:rsidRPr="002325B9">
        <w:rPr>
          <w:rFonts w:ascii="Arial" w:hAnsi="Arial" w:cs="Arial"/>
          <w:sz w:val="20"/>
          <w:szCs w:val="20"/>
        </w:rPr>
        <w:t>são</w:t>
      </w:r>
      <w:r w:rsidRPr="002325B9">
        <w:rPr>
          <w:rFonts w:ascii="Arial" w:hAnsi="Arial" w:cs="Arial"/>
          <w:sz w:val="20"/>
          <w:szCs w:val="20"/>
        </w:rPr>
        <w:t xml:space="preserve"> os da </w:t>
      </w:r>
      <w:r w:rsidR="00346D75">
        <w:rPr>
          <w:rFonts w:ascii="Arial" w:hAnsi="Arial" w:cs="Arial"/>
          <w:sz w:val="20"/>
          <w:szCs w:val="20"/>
        </w:rPr>
        <w:t>s</w:t>
      </w:r>
      <w:r w:rsidR="00346D75" w:rsidRPr="002325B9">
        <w:rPr>
          <w:rFonts w:ascii="Arial" w:hAnsi="Arial" w:cs="Arial"/>
          <w:sz w:val="20"/>
          <w:szCs w:val="20"/>
        </w:rPr>
        <w:t>aúde</w:t>
      </w:r>
      <w:r w:rsidRPr="002325B9">
        <w:rPr>
          <w:rFonts w:ascii="Arial" w:hAnsi="Arial" w:cs="Arial"/>
          <w:sz w:val="20"/>
          <w:szCs w:val="20"/>
        </w:rPr>
        <w:t xml:space="preserve"> </w:t>
      </w:r>
      <w:r w:rsidR="00346D75">
        <w:rPr>
          <w:rFonts w:ascii="Arial" w:hAnsi="Arial" w:cs="Arial"/>
          <w:sz w:val="20"/>
          <w:szCs w:val="20"/>
        </w:rPr>
        <w:t>c</w:t>
      </w:r>
      <w:r w:rsidRPr="002325B9">
        <w:rPr>
          <w:rFonts w:ascii="Arial" w:hAnsi="Arial" w:cs="Arial"/>
          <w:sz w:val="20"/>
          <w:szCs w:val="20"/>
        </w:rPr>
        <w:t xml:space="preserve">oletiva, ou seja, a </w:t>
      </w:r>
      <w:r w:rsidR="009B4011" w:rsidRPr="002325B9">
        <w:rPr>
          <w:rFonts w:ascii="Arial" w:hAnsi="Arial" w:cs="Arial"/>
          <w:sz w:val="20"/>
          <w:szCs w:val="20"/>
        </w:rPr>
        <w:t>promoção</w:t>
      </w:r>
      <w:r w:rsidRPr="002325B9">
        <w:rPr>
          <w:rFonts w:ascii="Arial" w:hAnsi="Arial" w:cs="Arial"/>
          <w:sz w:val="20"/>
          <w:szCs w:val="20"/>
        </w:rPr>
        <w:t xml:space="preserve">, a </w:t>
      </w:r>
      <w:r w:rsidR="00346D75" w:rsidRPr="002325B9">
        <w:rPr>
          <w:rFonts w:ascii="Arial" w:hAnsi="Arial" w:cs="Arial"/>
          <w:sz w:val="20"/>
          <w:szCs w:val="20"/>
        </w:rPr>
        <w:t>prevenção</w:t>
      </w:r>
      <w:r w:rsidRPr="002325B9">
        <w:rPr>
          <w:rFonts w:ascii="Arial" w:hAnsi="Arial" w:cs="Arial"/>
          <w:sz w:val="20"/>
          <w:szCs w:val="20"/>
        </w:rPr>
        <w:t xml:space="preserve"> e a </w:t>
      </w:r>
      <w:r w:rsidR="00346D75" w:rsidRPr="002325B9">
        <w:rPr>
          <w:rFonts w:ascii="Arial" w:hAnsi="Arial" w:cs="Arial"/>
          <w:sz w:val="20"/>
          <w:szCs w:val="20"/>
        </w:rPr>
        <w:t>vigilância</w:t>
      </w:r>
      <w:r w:rsidR="00346D75">
        <w:rPr>
          <w:rFonts w:ascii="Arial" w:hAnsi="Arial" w:cs="Arial"/>
          <w:sz w:val="20"/>
          <w:szCs w:val="20"/>
        </w:rPr>
        <w:t>.</w:t>
      </w:r>
    </w:p>
    <w:p w14:paraId="18E8EFB6" w14:textId="68406E67" w:rsidR="002325B9" w:rsidRPr="002325B9" w:rsidRDefault="002325B9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325B9">
        <w:rPr>
          <w:rFonts w:ascii="Arial" w:hAnsi="Arial" w:cs="Arial"/>
          <w:sz w:val="20"/>
          <w:szCs w:val="20"/>
        </w:rPr>
        <w:t xml:space="preserve">A </w:t>
      </w:r>
      <w:r w:rsidR="00346D75">
        <w:rPr>
          <w:rFonts w:ascii="Arial" w:hAnsi="Arial" w:cs="Arial"/>
          <w:sz w:val="20"/>
          <w:szCs w:val="20"/>
        </w:rPr>
        <w:t>instituição</w:t>
      </w:r>
      <w:r w:rsidRPr="002325B9">
        <w:rPr>
          <w:rFonts w:ascii="Arial" w:hAnsi="Arial" w:cs="Arial"/>
          <w:sz w:val="20"/>
          <w:szCs w:val="20"/>
        </w:rPr>
        <w:t xml:space="preserve"> da </w:t>
      </w:r>
      <w:r w:rsidR="00346D75" w:rsidRPr="002325B9">
        <w:rPr>
          <w:rFonts w:ascii="Arial" w:hAnsi="Arial" w:cs="Arial"/>
          <w:sz w:val="20"/>
          <w:szCs w:val="20"/>
        </w:rPr>
        <w:t>Política</w:t>
      </w:r>
      <w:r w:rsidRPr="002325B9">
        <w:rPr>
          <w:rFonts w:ascii="Arial" w:hAnsi="Arial" w:cs="Arial"/>
          <w:sz w:val="20"/>
          <w:szCs w:val="20"/>
        </w:rPr>
        <w:t xml:space="preserve"> Nacional de </w:t>
      </w:r>
      <w:r w:rsidR="00346D75" w:rsidRPr="002325B9">
        <w:rPr>
          <w:rFonts w:ascii="Arial" w:hAnsi="Arial" w:cs="Arial"/>
          <w:sz w:val="20"/>
          <w:szCs w:val="20"/>
        </w:rPr>
        <w:t>Saúde</w:t>
      </w:r>
      <w:r w:rsidRPr="002325B9">
        <w:rPr>
          <w:rFonts w:ascii="Arial" w:hAnsi="Arial" w:cs="Arial"/>
          <w:sz w:val="20"/>
          <w:szCs w:val="20"/>
        </w:rPr>
        <w:t xml:space="preserve"> do Trabalhador e da Trabalhadora, </w:t>
      </w:r>
      <w:r w:rsidR="00346D75">
        <w:rPr>
          <w:rFonts w:ascii="Arial" w:hAnsi="Arial" w:cs="Arial"/>
          <w:sz w:val="20"/>
          <w:szCs w:val="20"/>
        </w:rPr>
        <w:t>por meio da Portaria n° 1.823 de agosto de 2012</w:t>
      </w:r>
      <w:r w:rsidRPr="002325B9">
        <w:rPr>
          <w:rFonts w:ascii="Arial" w:hAnsi="Arial" w:cs="Arial"/>
          <w:sz w:val="20"/>
          <w:szCs w:val="20"/>
        </w:rPr>
        <w:t xml:space="preserve">, constituiu um passo importante para orientar as </w:t>
      </w:r>
      <w:r w:rsidR="00346D75" w:rsidRPr="002325B9">
        <w:rPr>
          <w:rFonts w:ascii="Arial" w:hAnsi="Arial" w:cs="Arial"/>
          <w:sz w:val="20"/>
          <w:szCs w:val="20"/>
        </w:rPr>
        <w:t>ações</w:t>
      </w:r>
      <w:r w:rsidRPr="002325B9">
        <w:rPr>
          <w:rFonts w:ascii="Arial" w:hAnsi="Arial" w:cs="Arial"/>
          <w:sz w:val="20"/>
          <w:szCs w:val="20"/>
        </w:rPr>
        <w:t xml:space="preserve"> e a </w:t>
      </w:r>
      <w:r w:rsidR="00346D75" w:rsidRPr="002325B9">
        <w:rPr>
          <w:rFonts w:ascii="Arial" w:hAnsi="Arial" w:cs="Arial"/>
          <w:sz w:val="20"/>
          <w:szCs w:val="20"/>
        </w:rPr>
        <w:t>produção</w:t>
      </w:r>
      <w:r w:rsidRPr="002325B9">
        <w:rPr>
          <w:rFonts w:ascii="Arial" w:hAnsi="Arial" w:cs="Arial"/>
          <w:sz w:val="20"/>
          <w:szCs w:val="20"/>
        </w:rPr>
        <w:t xml:space="preserve"> </w:t>
      </w:r>
      <w:r w:rsidR="00346D75" w:rsidRPr="002325B9">
        <w:rPr>
          <w:rFonts w:ascii="Arial" w:hAnsi="Arial" w:cs="Arial"/>
          <w:sz w:val="20"/>
          <w:szCs w:val="20"/>
        </w:rPr>
        <w:t>científica</w:t>
      </w:r>
      <w:r w:rsidRPr="002325B9">
        <w:rPr>
          <w:rFonts w:ascii="Arial" w:hAnsi="Arial" w:cs="Arial"/>
          <w:sz w:val="20"/>
          <w:szCs w:val="20"/>
        </w:rPr>
        <w:t xml:space="preserve"> na </w:t>
      </w:r>
      <w:r w:rsidR="00346D75" w:rsidRPr="002325B9">
        <w:rPr>
          <w:rFonts w:ascii="Arial" w:hAnsi="Arial" w:cs="Arial"/>
          <w:sz w:val="20"/>
          <w:szCs w:val="20"/>
        </w:rPr>
        <w:t>área</w:t>
      </w:r>
      <w:r w:rsidRPr="002325B9">
        <w:rPr>
          <w:rFonts w:ascii="Arial" w:hAnsi="Arial" w:cs="Arial"/>
          <w:sz w:val="20"/>
          <w:szCs w:val="20"/>
        </w:rPr>
        <w:t xml:space="preserve">. Enquanto principal </w:t>
      </w:r>
      <w:r w:rsidR="00346D75" w:rsidRPr="002325B9">
        <w:rPr>
          <w:rFonts w:ascii="Arial" w:hAnsi="Arial" w:cs="Arial"/>
          <w:sz w:val="20"/>
          <w:szCs w:val="20"/>
        </w:rPr>
        <w:t>referência</w:t>
      </w:r>
      <w:r w:rsidRPr="002325B9">
        <w:rPr>
          <w:rFonts w:ascii="Arial" w:hAnsi="Arial" w:cs="Arial"/>
          <w:sz w:val="20"/>
          <w:szCs w:val="20"/>
        </w:rPr>
        <w:t xml:space="preserve"> normativa de </w:t>
      </w:r>
      <w:r w:rsidR="00346D75" w:rsidRPr="002325B9">
        <w:rPr>
          <w:rFonts w:ascii="Arial" w:hAnsi="Arial" w:cs="Arial"/>
          <w:sz w:val="20"/>
          <w:szCs w:val="20"/>
        </w:rPr>
        <w:t>princípios</w:t>
      </w:r>
      <w:r w:rsidRPr="002325B9">
        <w:rPr>
          <w:rFonts w:ascii="Arial" w:hAnsi="Arial" w:cs="Arial"/>
          <w:sz w:val="20"/>
          <w:szCs w:val="20"/>
        </w:rPr>
        <w:t xml:space="preserve"> e diretrizes da </w:t>
      </w:r>
      <w:r w:rsidR="00346D75" w:rsidRPr="002325B9">
        <w:rPr>
          <w:rFonts w:ascii="Arial" w:hAnsi="Arial" w:cs="Arial"/>
          <w:sz w:val="20"/>
          <w:szCs w:val="20"/>
        </w:rPr>
        <w:t>área</w:t>
      </w:r>
      <w:r w:rsidRPr="002325B9">
        <w:rPr>
          <w:rFonts w:ascii="Arial" w:hAnsi="Arial" w:cs="Arial"/>
          <w:sz w:val="20"/>
          <w:szCs w:val="20"/>
        </w:rPr>
        <w:t xml:space="preserve">, a </w:t>
      </w:r>
      <w:r w:rsidR="00346D75">
        <w:rPr>
          <w:rFonts w:ascii="Arial" w:hAnsi="Arial" w:cs="Arial"/>
          <w:sz w:val="20"/>
          <w:szCs w:val="20"/>
        </w:rPr>
        <w:t>supramencionada portaria</w:t>
      </w:r>
      <w:r w:rsidRPr="002325B9">
        <w:rPr>
          <w:rFonts w:ascii="Arial" w:hAnsi="Arial" w:cs="Arial"/>
          <w:sz w:val="20"/>
          <w:szCs w:val="20"/>
        </w:rPr>
        <w:t xml:space="preserve"> efetivamente </w:t>
      </w:r>
      <w:r w:rsidR="00346D75">
        <w:rPr>
          <w:rFonts w:ascii="Arial" w:hAnsi="Arial" w:cs="Arial"/>
          <w:sz w:val="20"/>
          <w:szCs w:val="20"/>
        </w:rPr>
        <w:t>contribui</w:t>
      </w:r>
      <w:r w:rsidRPr="002325B9">
        <w:rPr>
          <w:rFonts w:ascii="Arial" w:hAnsi="Arial" w:cs="Arial"/>
          <w:sz w:val="20"/>
          <w:szCs w:val="20"/>
        </w:rPr>
        <w:t xml:space="preserve">, entre muitos outros aspectos, para superar o distanciamento entre a </w:t>
      </w:r>
      <w:r w:rsidR="00346D75" w:rsidRPr="002325B9">
        <w:rPr>
          <w:rFonts w:ascii="Arial" w:hAnsi="Arial" w:cs="Arial"/>
          <w:sz w:val="20"/>
          <w:szCs w:val="20"/>
        </w:rPr>
        <w:t>produção</w:t>
      </w:r>
      <w:r w:rsidRPr="002325B9">
        <w:rPr>
          <w:rFonts w:ascii="Arial" w:hAnsi="Arial" w:cs="Arial"/>
          <w:sz w:val="20"/>
          <w:szCs w:val="20"/>
        </w:rPr>
        <w:t xml:space="preserve"> de conhecimentos de setores da academia e as necessidades de </w:t>
      </w:r>
      <w:r w:rsidR="00346D75" w:rsidRPr="002325B9">
        <w:rPr>
          <w:rFonts w:ascii="Arial" w:hAnsi="Arial" w:cs="Arial"/>
          <w:sz w:val="20"/>
          <w:szCs w:val="20"/>
        </w:rPr>
        <w:t>fundamentação</w:t>
      </w:r>
      <w:r w:rsidRPr="002325B9">
        <w:rPr>
          <w:rFonts w:ascii="Arial" w:hAnsi="Arial" w:cs="Arial"/>
          <w:sz w:val="20"/>
          <w:szCs w:val="20"/>
        </w:rPr>
        <w:t xml:space="preserve"> na </w:t>
      </w:r>
      <w:r w:rsidR="00346D75" w:rsidRPr="002325B9">
        <w:rPr>
          <w:rFonts w:ascii="Arial" w:hAnsi="Arial" w:cs="Arial"/>
          <w:sz w:val="20"/>
          <w:szCs w:val="20"/>
        </w:rPr>
        <w:t>prática</w:t>
      </w:r>
      <w:r w:rsidRPr="002325B9">
        <w:rPr>
          <w:rFonts w:ascii="Arial" w:hAnsi="Arial" w:cs="Arial"/>
          <w:sz w:val="20"/>
          <w:szCs w:val="20"/>
        </w:rPr>
        <w:t xml:space="preserve"> dos </w:t>
      </w:r>
      <w:r w:rsidR="00346D75" w:rsidRPr="002325B9">
        <w:rPr>
          <w:rFonts w:ascii="Arial" w:hAnsi="Arial" w:cs="Arial"/>
          <w:sz w:val="20"/>
          <w:szCs w:val="20"/>
        </w:rPr>
        <w:t>serviços</w:t>
      </w:r>
      <w:r w:rsidR="00A856DB">
        <w:rPr>
          <w:rFonts w:ascii="Arial" w:hAnsi="Arial" w:cs="Arial"/>
          <w:sz w:val="20"/>
          <w:szCs w:val="20"/>
        </w:rPr>
        <w:t xml:space="preserve"> (HENNINGTON EA, et al. 2024)</w:t>
      </w:r>
      <w:r w:rsidRPr="002325B9">
        <w:rPr>
          <w:rFonts w:ascii="Arial" w:hAnsi="Arial" w:cs="Arial"/>
          <w:sz w:val="20"/>
          <w:szCs w:val="20"/>
        </w:rPr>
        <w:t>.</w:t>
      </w:r>
      <w:r w:rsidR="00346D75">
        <w:rPr>
          <w:rFonts w:ascii="Arial" w:hAnsi="Arial" w:cs="Arial"/>
          <w:sz w:val="20"/>
          <w:szCs w:val="20"/>
        </w:rPr>
        <w:t xml:space="preserve"> Tem-se como exemplo os objetivos contidos no Capítulo II da</w:t>
      </w:r>
      <w:r w:rsidR="00346D75" w:rsidRPr="00346D75">
        <w:rPr>
          <w:rFonts w:ascii="Arial" w:hAnsi="Arial" w:cs="Arial"/>
          <w:sz w:val="20"/>
          <w:szCs w:val="20"/>
        </w:rPr>
        <w:t xml:space="preserve"> </w:t>
      </w:r>
      <w:r w:rsidR="00346D75">
        <w:rPr>
          <w:rFonts w:ascii="Arial" w:hAnsi="Arial" w:cs="Arial"/>
          <w:sz w:val="20"/>
          <w:szCs w:val="20"/>
        </w:rPr>
        <w:t xml:space="preserve">Portaria n° 1.823 de agosto de 2012, os quais determinam a “produção de </w:t>
      </w:r>
      <w:r w:rsidR="00346D75" w:rsidRPr="00346D75">
        <w:rPr>
          <w:rFonts w:ascii="Arial" w:hAnsi="Arial" w:cs="Arial"/>
          <w:sz w:val="20"/>
          <w:szCs w:val="20"/>
        </w:rPr>
        <w:t>tecnologias de intervenção, de avaliação e de monitoramento das ações de VISAT</w:t>
      </w:r>
      <w:r w:rsidR="00346D75">
        <w:rPr>
          <w:rFonts w:ascii="Arial" w:hAnsi="Arial" w:cs="Arial"/>
          <w:sz w:val="20"/>
          <w:szCs w:val="20"/>
        </w:rPr>
        <w:t>”, “</w:t>
      </w:r>
      <w:r w:rsidR="00346D75" w:rsidRPr="00346D75">
        <w:rPr>
          <w:rFonts w:ascii="Arial" w:hAnsi="Arial" w:cs="Arial"/>
          <w:sz w:val="20"/>
          <w:szCs w:val="20"/>
        </w:rPr>
        <w:t>produção de protocolos, de normas técnicas e regulamentares</w:t>
      </w:r>
      <w:r w:rsidR="00346D75">
        <w:rPr>
          <w:rFonts w:ascii="Arial" w:hAnsi="Arial" w:cs="Arial"/>
          <w:sz w:val="20"/>
          <w:szCs w:val="20"/>
        </w:rPr>
        <w:t>” (</w:t>
      </w:r>
      <w:r w:rsidR="003A7008">
        <w:rPr>
          <w:rFonts w:ascii="Arial" w:hAnsi="Arial" w:cs="Arial"/>
          <w:sz w:val="20"/>
          <w:szCs w:val="20"/>
        </w:rPr>
        <w:t>BRASIL</w:t>
      </w:r>
      <w:r w:rsidR="00346D75">
        <w:rPr>
          <w:rFonts w:ascii="Arial" w:hAnsi="Arial" w:cs="Arial"/>
          <w:sz w:val="20"/>
          <w:szCs w:val="20"/>
        </w:rPr>
        <w:t>, 2012) e demais ações interventivas.</w:t>
      </w:r>
    </w:p>
    <w:p w14:paraId="3B40CC98" w14:textId="61BD6AF2" w:rsidR="002325B9" w:rsidRPr="002325B9" w:rsidRDefault="00346D75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Apesar </w:t>
      </w:r>
      <w:r w:rsidR="00A25DD8">
        <w:rPr>
          <w:rFonts w:ascii="Arial" w:hAnsi="Arial" w:cs="Arial"/>
          <w:sz w:val="20"/>
          <w:szCs w:val="20"/>
        </w:rPr>
        <w:t xml:space="preserve">da </w:t>
      </w:r>
      <w:r w:rsidR="00A25DD8" w:rsidRPr="002325B9">
        <w:rPr>
          <w:rFonts w:ascii="Arial" w:hAnsi="Arial" w:cs="Arial"/>
          <w:sz w:val="20"/>
          <w:szCs w:val="20"/>
        </w:rPr>
        <w:t>saúde</w:t>
      </w:r>
      <w:r w:rsidR="002325B9" w:rsidRPr="002325B9">
        <w:rPr>
          <w:rFonts w:ascii="Arial" w:hAnsi="Arial" w:cs="Arial"/>
          <w:sz w:val="20"/>
          <w:szCs w:val="20"/>
        </w:rPr>
        <w:t xml:space="preserve"> do trabalhador </w:t>
      </w:r>
      <w:r w:rsidR="00A25DD8">
        <w:rPr>
          <w:rFonts w:ascii="Arial" w:hAnsi="Arial" w:cs="Arial"/>
          <w:sz w:val="20"/>
          <w:szCs w:val="20"/>
        </w:rPr>
        <w:t>ser</w:t>
      </w:r>
      <w:r w:rsidR="002325B9" w:rsidRPr="002325B9">
        <w:rPr>
          <w:rFonts w:ascii="Arial" w:hAnsi="Arial" w:cs="Arial"/>
          <w:sz w:val="20"/>
          <w:szCs w:val="20"/>
        </w:rPr>
        <w:t xml:space="preserve"> um campo essencial que aborda a prevenção e o tratamento de doenças e lesões relacionadas ao ambiente de trabalho</w:t>
      </w:r>
      <w:r w:rsidR="00A25DD8">
        <w:rPr>
          <w:rFonts w:ascii="Arial" w:hAnsi="Arial" w:cs="Arial"/>
          <w:sz w:val="20"/>
          <w:szCs w:val="20"/>
        </w:rPr>
        <w:t xml:space="preserve">, esse campo </w:t>
      </w:r>
      <w:r w:rsidR="002325B9" w:rsidRPr="002325B9">
        <w:rPr>
          <w:rFonts w:ascii="Arial" w:hAnsi="Arial" w:cs="Arial"/>
          <w:sz w:val="20"/>
          <w:szCs w:val="20"/>
        </w:rPr>
        <w:t>tem enfrentado desafios significativos, especialmente no contexto do Sistema Único de Saúde (SUS),</w:t>
      </w:r>
      <w:r w:rsidR="00A25DD8">
        <w:rPr>
          <w:rFonts w:ascii="Arial" w:hAnsi="Arial" w:cs="Arial"/>
          <w:sz w:val="20"/>
          <w:szCs w:val="20"/>
        </w:rPr>
        <w:t xml:space="preserve"> de modo a refletir a </w:t>
      </w:r>
      <w:r w:rsidR="00A25DD8" w:rsidRPr="002325B9">
        <w:rPr>
          <w:rFonts w:ascii="Arial" w:hAnsi="Arial" w:cs="Arial"/>
          <w:sz w:val="20"/>
          <w:szCs w:val="20"/>
        </w:rPr>
        <w:t>necessidade</w:t>
      </w:r>
      <w:r w:rsidR="002325B9" w:rsidRPr="002325B9">
        <w:rPr>
          <w:rFonts w:ascii="Arial" w:hAnsi="Arial" w:cs="Arial"/>
          <w:sz w:val="20"/>
          <w:szCs w:val="20"/>
        </w:rPr>
        <w:t xml:space="preserve"> de ações de vigilância e políticas públicas eficazes</w:t>
      </w:r>
      <w:r w:rsidR="009505DB">
        <w:rPr>
          <w:rFonts w:ascii="Arial" w:hAnsi="Arial" w:cs="Arial"/>
          <w:sz w:val="20"/>
          <w:szCs w:val="20"/>
        </w:rPr>
        <w:t>,</w:t>
      </w:r>
      <w:r w:rsidR="00A25DD8">
        <w:rPr>
          <w:rFonts w:ascii="Arial" w:hAnsi="Arial" w:cs="Arial"/>
          <w:sz w:val="20"/>
          <w:szCs w:val="20"/>
        </w:rPr>
        <w:t xml:space="preserve"> especialmente no campo da Vigilância em Saúde do Trabalhador</w:t>
      </w:r>
      <w:r w:rsidR="005763AB">
        <w:rPr>
          <w:rFonts w:ascii="Arial" w:hAnsi="Arial" w:cs="Arial"/>
          <w:sz w:val="20"/>
          <w:szCs w:val="20"/>
        </w:rPr>
        <w:t xml:space="preserve"> (VISAT)</w:t>
      </w:r>
      <w:r w:rsidR="007F758D">
        <w:rPr>
          <w:rFonts w:ascii="Arial" w:hAnsi="Arial" w:cs="Arial"/>
          <w:sz w:val="20"/>
          <w:szCs w:val="20"/>
        </w:rPr>
        <w:t xml:space="preserve"> (SILVA MF, et al, 2023)</w:t>
      </w:r>
      <w:r w:rsidR="002325B9" w:rsidRPr="002325B9">
        <w:rPr>
          <w:rFonts w:ascii="Arial" w:hAnsi="Arial" w:cs="Arial"/>
          <w:sz w:val="20"/>
          <w:szCs w:val="20"/>
        </w:rPr>
        <w:t xml:space="preserve">. </w:t>
      </w:r>
    </w:p>
    <w:p w14:paraId="3FF5B4E4" w14:textId="094863C4" w:rsidR="002325B9" w:rsidRDefault="002325B9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325B9">
        <w:rPr>
          <w:rFonts w:ascii="Arial" w:hAnsi="Arial" w:cs="Arial"/>
          <w:sz w:val="20"/>
          <w:szCs w:val="20"/>
        </w:rPr>
        <w:t xml:space="preserve">A Vigilância de Saúde do Trabalhador (VISAT) é um componente crucial da Saúde do Trabalhador, focado na prevenção e controle de riscos ocupacionais. </w:t>
      </w:r>
      <w:r w:rsidR="00A25DD8">
        <w:rPr>
          <w:rFonts w:ascii="Arial" w:hAnsi="Arial" w:cs="Arial"/>
          <w:sz w:val="20"/>
          <w:szCs w:val="20"/>
        </w:rPr>
        <w:t xml:space="preserve">Este campo pode ser subdivido entre i) vigilância dos </w:t>
      </w:r>
      <w:r w:rsidR="00A25DD8">
        <w:rPr>
          <w:rFonts w:ascii="Arial" w:hAnsi="Arial" w:cs="Arial"/>
          <w:sz w:val="20"/>
          <w:szCs w:val="20"/>
        </w:rPr>
        <w:lastRenderedPageBreak/>
        <w:t xml:space="preserve">ambientes e processos de trabalho e </w:t>
      </w:r>
      <w:proofErr w:type="spellStart"/>
      <w:r w:rsidR="00A25DD8">
        <w:rPr>
          <w:rFonts w:ascii="Arial" w:hAnsi="Arial" w:cs="Arial"/>
          <w:sz w:val="20"/>
          <w:szCs w:val="20"/>
        </w:rPr>
        <w:t>ii</w:t>
      </w:r>
      <w:proofErr w:type="spellEnd"/>
      <w:r w:rsidR="00A25DD8">
        <w:rPr>
          <w:rFonts w:ascii="Arial" w:hAnsi="Arial" w:cs="Arial"/>
          <w:sz w:val="20"/>
          <w:szCs w:val="20"/>
        </w:rPr>
        <w:t>) vigilância epidemiológica das doenças relacionadas ao trabalho, com o objetivo de identificar e intervir em fatores de risco ocupacionais (</w:t>
      </w:r>
      <w:r w:rsidR="003A7008">
        <w:rPr>
          <w:rFonts w:ascii="Arial" w:hAnsi="Arial" w:cs="Arial"/>
          <w:sz w:val="20"/>
          <w:szCs w:val="20"/>
        </w:rPr>
        <w:t>MINISTÉRIO DA SAÚDE</w:t>
      </w:r>
      <w:r w:rsidR="00A25DD8">
        <w:rPr>
          <w:rFonts w:ascii="Arial" w:hAnsi="Arial" w:cs="Arial"/>
          <w:sz w:val="20"/>
          <w:szCs w:val="20"/>
        </w:rPr>
        <w:t xml:space="preserve">, 2022). </w:t>
      </w:r>
    </w:p>
    <w:p w14:paraId="31B59A7B" w14:textId="45D4A4E5" w:rsidR="005763AB" w:rsidRPr="002325B9" w:rsidRDefault="005763AB" w:rsidP="005763AB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tanto, o Ministério da Saúde sol</w:t>
      </w:r>
      <w:r w:rsidR="007F758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cita a notificação compulsória de acidentes de trabalho, acidente de trabalho com exposição a material biológico, perda audit</w:t>
      </w:r>
      <w:r w:rsidR="007F758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vas, câncer relacionados à prática laboral, dermatoses ocupacionais, intoxicação exógena, lesões por esforço repetitivos e doenças osteomusculares, </w:t>
      </w:r>
      <w:proofErr w:type="spellStart"/>
      <w:r>
        <w:rPr>
          <w:rFonts w:ascii="Arial" w:hAnsi="Arial" w:cs="Arial"/>
          <w:sz w:val="20"/>
          <w:szCs w:val="20"/>
        </w:rPr>
        <w:t>pneumoconioses</w:t>
      </w:r>
      <w:proofErr w:type="spellEnd"/>
      <w:r>
        <w:rPr>
          <w:rFonts w:ascii="Arial" w:hAnsi="Arial" w:cs="Arial"/>
          <w:sz w:val="20"/>
          <w:szCs w:val="20"/>
        </w:rPr>
        <w:t xml:space="preserve"> e transtornos mentais relacionados ao trabalho. Dentre os principais acidentes, destaca-se a com perfurocortantes e contaminações com materiais biológicos</w:t>
      </w:r>
      <w:r w:rsidR="006B5CA8">
        <w:rPr>
          <w:rFonts w:ascii="Arial" w:hAnsi="Arial" w:cs="Arial"/>
          <w:sz w:val="20"/>
          <w:szCs w:val="20"/>
        </w:rPr>
        <w:t>, especialmente em ambiente hospitalar</w:t>
      </w:r>
      <w:r w:rsidR="007F758D">
        <w:rPr>
          <w:rFonts w:ascii="Arial" w:hAnsi="Arial" w:cs="Arial"/>
          <w:sz w:val="20"/>
          <w:szCs w:val="20"/>
        </w:rPr>
        <w:t xml:space="preserve"> (MINISTÉRIO DA SAÚDE, 2010; 2012)</w:t>
      </w:r>
      <w:r w:rsidR="006B5CA8">
        <w:rPr>
          <w:rFonts w:ascii="Arial" w:hAnsi="Arial" w:cs="Arial"/>
          <w:sz w:val="20"/>
          <w:szCs w:val="20"/>
        </w:rPr>
        <w:t xml:space="preserve">. </w:t>
      </w:r>
    </w:p>
    <w:p w14:paraId="50296838" w14:textId="3E87FB3C" w:rsidR="002325B9" w:rsidRDefault="00584033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325B9" w:rsidRPr="002325B9">
        <w:rPr>
          <w:rFonts w:ascii="Arial" w:hAnsi="Arial" w:cs="Arial"/>
          <w:sz w:val="20"/>
          <w:szCs w:val="20"/>
        </w:rPr>
        <w:t xml:space="preserve"> campo da ST</w:t>
      </w:r>
      <w:r>
        <w:rPr>
          <w:rFonts w:ascii="Arial" w:hAnsi="Arial" w:cs="Arial"/>
          <w:sz w:val="20"/>
          <w:szCs w:val="20"/>
        </w:rPr>
        <w:t xml:space="preserve"> e a adoção de medidas relacionadas à prevenção de doenças e de agravos relacionadas ao trabalho demandam dos profissionais da saúde especialistas na temática o conhecimento da legislação e das normas técnicas e regulamentares nacionais e internacionais que amparam o trabalhador. Dentre essas normas, destaca-se a</w:t>
      </w:r>
      <w:r w:rsidR="002325B9" w:rsidRPr="002325B9">
        <w:rPr>
          <w:rFonts w:ascii="Arial" w:hAnsi="Arial" w:cs="Arial"/>
          <w:sz w:val="20"/>
          <w:szCs w:val="20"/>
        </w:rPr>
        <w:t xml:space="preserve"> NR 32</w:t>
      </w:r>
      <w:r>
        <w:rPr>
          <w:rFonts w:ascii="Arial" w:hAnsi="Arial" w:cs="Arial"/>
          <w:sz w:val="20"/>
          <w:szCs w:val="20"/>
        </w:rPr>
        <w:t xml:space="preserve"> – Segurança e Saúde no Trabalho em Serviço de Saúde, publicada por meio da Portaria </w:t>
      </w:r>
      <w:proofErr w:type="spellStart"/>
      <w:r>
        <w:rPr>
          <w:rFonts w:ascii="Arial" w:hAnsi="Arial" w:cs="Arial"/>
          <w:sz w:val="20"/>
          <w:szCs w:val="20"/>
        </w:rPr>
        <w:t>MTb</w:t>
      </w:r>
      <w:proofErr w:type="spellEnd"/>
      <w:r>
        <w:rPr>
          <w:rFonts w:ascii="Arial" w:hAnsi="Arial" w:cs="Arial"/>
          <w:sz w:val="20"/>
          <w:szCs w:val="20"/>
        </w:rPr>
        <w:t xml:space="preserve"> n° 485, de 11 de novembro de 2005,</w:t>
      </w:r>
      <w:r w:rsidR="002325B9" w:rsidRPr="002325B9">
        <w:rPr>
          <w:rFonts w:ascii="Arial" w:hAnsi="Arial" w:cs="Arial"/>
          <w:sz w:val="20"/>
          <w:szCs w:val="20"/>
        </w:rPr>
        <w:t xml:space="preserve"> que estabelece diretrizes para a saúde e segurança no trabalho, incluindo a prevenção de acidentes e doenças ocupacionais</w:t>
      </w:r>
      <w:r w:rsidR="007F758D">
        <w:rPr>
          <w:rFonts w:ascii="Arial" w:hAnsi="Arial" w:cs="Arial"/>
          <w:sz w:val="20"/>
          <w:szCs w:val="20"/>
        </w:rPr>
        <w:t xml:space="preserve"> (CRUZ APC, et al, 2018)</w:t>
      </w:r>
      <w:r w:rsidR="002325B9" w:rsidRPr="002325B9">
        <w:rPr>
          <w:rFonts w:ascii="Arial" w:hAnsi="Arial" w:cs="Arial"/>
          <w:sz w:val="20"/>
          <w:szCs w:val="20"/>
        </w:rPr>
        <w:t xml:space="preserve">.  </w:t>
      </w:r>
    </w:p>
    <w:p w14:paraId="3C04321E" w14:textId="3CE83155" w:rsidR="00BE3E07" w:rsidRPr="002325B9" w:rsidRDefault="00BE3E07" w:rsidP="00BE3E0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Brasil, BALONECKER AFC, et al. (2023) informa que o número de casos de acidentes de trabalho com exposição a material biológico em 2007 saiu de 15.735 para 47.292 em 2014. </w:t>
      </w:r>
      <w:r w:rsidR="00070F0C">
        <w:rPr>
          <w:rFonts w:ascii="Arial" w:hAnsi="Arial" w:cs="Arial"/>
          <w:sz w:val="20"/>
          <w:szCs w:val="20"/>
        </w:rPr>
        <w:t xml:space="preserve">Além disso, a pesquisa realizada pelos autores em um hospital no Rio de Janeiro, entre 2016 a 2019, demonstrou que a categoria que mais sofreu com acidentes dessa categoria foi o técnico de enfermagem, seguido do médico residente e do médico, com predominância dos acidentes em centro cirúrgico. Nesse sentido, a agilidade demandada e o nível de tensão podem ser fatores relacionados ao número de acidentes. </w:t>
      </w:r>
    </w:p>
    <w:p w14:paraId="6321FF1A" w14:textId="3F12D333" w:rsidR="005763AB" w:rsidRDefault="0045793D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Especificamente tratando do ambiente hospitalar e do serviço de saúde, profissionais que atuam em hospitais, e especialmente em centros cirúrgicos, estão expostos a diversos riscos ocupacionais que exigem estratégias e ações de prevenção e controle específicos. </w:t>
      </w:r>
      <w:r w:rsidR="005763AB">
        <w:rPr>
          <w:rFonts w:ascii="Arial" w:hAnsi="Arial" w:cs="Arial"/>
          <w:sz w:val="20"/>
          <w:szCs w:val="20"/>
        </w:rPr>
        <w:t xml:space="preserve">Inclusive, a Organização Mundial da Saúde adverte para uma porcentagem significativa relacionada ao ambiente hospitalar, especialmente no que tange à riscos biológicos, perfurocortantes, contato com fluidos corporais </w:t>
      </w:r>
      <w:proofErr w:type="spellStart"/>
      <w:r w:rsidR="005763AB">
        <w:rPr>
          <w:rFonts w:ascii="Arial" w:hAnsi="Arial" w:cs="Arial"/>
          <w:sz w:val="20"/>
          <w:szCs w:val="20"/>
        </w:rPr>
        <w:t>etc</w:t>
      </w:r>
      <w:proofErr w:type="spellEnd"/>
      <w:r w:rsidR="00B060A5">
        <w:rPr>
          <w:rFonts w:ascii="Arial" w:hAnsi="Arial" w:cs="Arial"/>
          <w:sz w:val="20"/>
          <w:szCs w:val="20"/>
        </w:rPr>
        <w:t xml:space="preserve"> (MINISTÉRIO DA SAÚDE, 2022)</w:t>
      </w:r>
      <w:r w:rsidR="005763AB">
        <w:rPr>
          <w:rFonts w:ascii="Arial" w:hAnsi="Arial" w:cs="Arial"/>
          <w:sz w:val="20"/>
          <w:szCs w:val="20"/>
        </w:rPr>
        <w:t xml:space="preserve">. </w:t>
      </w:r>
    </w:p>
    <w:p w14:paraId="672B40CA" w14:textId="5C25C657" w:rsidR="009C1EDD" w:rsidRDefault="009C1EDD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Esse tipo de acidentes, por exemplo, pode levar a infecções e morte, além disso, agulhas e materiais perfurocortantes são uma forma de transmissão de algumas doenças como Hepatite B, Hepatite C e HIV, que necessitam de notificação compulsória e profilaxias após o contato. </w:t>
      </w:r>
      <w:r w:rsidR="003A7008">
        <w:rPr>
          <w:rFonts w:ascii="Arial" w:hAnsi="Arial" w:cs="Arial"/>
          <w:sz w:val="20"/>
          <w:szCs w:val="20"/>
        </w:rPr>
        <w:t>Assim, verificar quais os fatores contribuintes para o número de acidentes e tentar eliminá-los é essencial para a vida dos trabalhadores em saúde, bem como seus pacientes (SANTOS</w:t>
      </w:r>
      <w:r w:rsidR="00B060A5">
        <w:rPr>
          <w:rFonts w:ascii="Arial" w:hAnsi="Arial" w:cs="Arial"/>
          <w:sz w:val="20"/>
          <w:szCs w:val="20"/>
        </w:rPr>
        <w:t xml:space="preserve"> LF</w:t>
      </w:r>
      <w:r w:rsidR="003A7008">
        <w:rPr>
          <w:rFonts w:ascii="Arial" w:hAnsi="Arial" w:cs="Arial"/>
          <w:sz w:val="20"/>
          <w:szCs w:val="20"/>
        </w:rPr>
        <w:t xml:space="preserve">, et al, 2024). </w:t>
      </w:r>
    </w:p>
    <w:p w14:paraId="0FB5F84C" w14:textId="6BE6E104" w:rsidR="007F758D" w:rsidRDefault="007F758D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o objetivo dos tratamentos de saúde é justamente evitar </w:t>
      </w:r>
      <w:proofErr w:type="spellStart"/>
      <w:r>
        <w:rPr>
          <w:rFonts w:ascii="Arial" w:hAnsi="Arial" w:cs="Arial"/>
          <w:sz w:val="20"/>
          <w:szCs w:val="20"/>
        </w:rPr>
        <w:t>dano</w:t>
      </w:r>
      <w:proofErr w:type="spellEnd"/>
      <w:r>
        <w:rPr>
          <w:rFonts w:ascii="Arial" w:hAnsi="Arial" w:cs="Arial"/>
          <w:sz w:val="20"/>
          <w:szCs w:val="20"/>
        </w:rPr>
        <w:t xml:space="preserve">, a equipe deve estar alinhada e com os riscos do próprio ambiente de trabalho controlados ou diminuídos, uma vez que no bloco cirúrgico é comum a ocorrência de infecções, acidentes biológicos e erros humanos, que podem afetar não só o paciente, mas também o trabalhador. Como consequencia dos acidentes, a necessidade de afastamento, reações adversas causadas pelo uso de medicações, e distúrbios emocionais são comuns (MONTEIRO APF et al, 2024). </w:t>
      </w:r>
    </w:p>
    <w:p w14:paraId="21832241" w14:textId="2FC2F929" w:rsidR="005763AB" w:rsidRDefault="005763AB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Nesse sentido, o Ministério da Saúde também adverte sobre as principais medidas de prevenção. Dentre elas, destacam-se a identificação de riscos, o estabelecimento de boas práticas, fornecimento de EPIs em números suficientes e também de proteção coletiva, bem com a realização de atividades educativas em saúde (</w:t>
      </w:r>
      <w:r w:rsidR="003A7008">
        <w:rPr>
          <w:rFonts w:ascii="Arial" w:hAnsi="Arial" w:cs="Arial"/>
          <w:sz w:val="20"/>
          <w:szCs w:val="20"/>
        </w:rPr>
        <w:t>MINISTÉRIO DA SAÚDE</w:t>
      </w:r>
      <w:r>
        <w:rPr>
          <w:rFonts w:ascii="Arial" w:hAnsi="Arial" w:cs="Arial"/>
          <w:sz w:val="20"/>
          <w:szCs w:val="20"/>
        </w:rPr>
        <w:t xml:space="preserve">, 2022).  </w:t>
      </w:r>
    </w:p>
    <w:p w14:paraId="554253A5" w14:textId="3564C498" w:rsidR="00B060A5" w:rsidRDefault="00B060A5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Dentre os possíveis fatores de risco, CUI Z, et al. (2018), através de uma pesquisa experimental realizada em hospital educacional na China, elencou que </w:t>
      </w:r>
      <w:r w:rsidR="00035D09">
        <w:rPr>
          <w:rFonts w:ascii="Arial" w:hAnsi="Arial" w:cs="Arial"/>
          <w:sz w:val="20"/>
          <w:szCs w:val="20"/>
        </w:rPr>
        <w:t xml:space="preserve">o departamento cirúrgico foi o que mais apresentou acidentes com materiais perfurocortantes, e que esse número é inversamente proporcional ao tempo de serviço do profissional.  </w:t>
      </w:r>
    </w:p>
    <w:p w14:paraId="5F8FFA91" w14:textId="581D6921" w:rsidR="002325B9" w:rsidRDefault="002325B9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325B9">
        <w:rPr>
          <w:rFonts w:ascii="Arial" w:hAnsi="Arial" w:cs="Arial"/>
          <w:sz w:val="20"/>
          <w:szCs w:val="20"/>
        </w:rPr>
        <w:lastRenderedPageBreak/>
        <w:t xml:space="preserve">Nessa perspectiva, construir tecnologias educativas é essencial para capacitar os trabalhadores e promover um ambiente de trabalho mais seguro e saudável. Através de orientações e monitoramento, é possível desenvolver estratégias eficazes para eliminar ou minimizar acidentes e agravos no ambiente </w:t>
      </w:r>
      <w:r w:rsidR="005763AB">
        <w:rPr>
          <w:rFonts w:ascii="Arial" w:hAnsi="Arial" w:cs="Arial"/>
          <w:sz w:val="20"/>
          <w:szCs w:val="20"/>
        </w:rPr>
        <w:t>laboral</w:t>
      </w:r>
      <w:r w:rsidRPr="002325B9">
        <w:rPr>
          <w:rFonts w:ascii="Arial" w:hAnsi="Arial" w:cs="Arial"/>
          <w:sz w:val="20"/>
          <w:szCs w:val="20"/>
        </w:rPr>
        <w:t xml:space="preserve">. As tecnologias não </w:t>
      </w:r>
      <w:r w:rsidR="00584033">
        <w:rPr>
          <w:rFonts w:ascii="Arial" w:hAnsi="Arial" w:cs="Arial"/>
          <w:sz w:val="20"/>
          <w:szCs w:val="20"/>
        </w:rPr>
        <w:t>apenas</w:t>
      </w:r>
      <w:r w:rsidRPr="002325B9">
        <w:rPr>
          <w:rFonts w:ascii="Arial" w:hAnsi="Arial" w:cs="Arial"/>
          <w:sz w:val="20"/>
          <w:szCs w:val="20"/>
        </w:rPr>
        <w:t xml:space="preserve"> aumentam a conscientização sobre práticas seguras, mas também empoderam os trabalhadores a tomarem decisões informadas e proativas em relação à saúde do trabalho.</w:t>
      </w:r>
    </w:p>
    <w:p w14:paraId="318C7ECB" w14:textId="3A550ECF" w:rsidR="002325B9" w:rsidRDefault="00D7020B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Diante do exposto</w:t>
      </w:r>
      <w:r w:rsidR="002325B9" w:rsidRPr="002325B9">
        <w:rPr>
          <w:rFonts w:ascii="Arial" w:hAnsi="Arial" w:cs="Arial"/>
          <w:sz w:val="20"/>
          <w:szCs w:val="20"/>
        </w:rPr>
        <w:t xml:space="preserve">, este estudo teve como objetivo descrever o Sistema de Segurança e Saúde Ocupacional Hospitalar (SSOH) em centro cirúrgico (CC), </w:t>
      </w:r>
      <w:r w:rsidR="00584033">
        <w:rPr>
          <w:rFonts w:ascii="Arial" w:hAnsi="Arial" w:cs="Arial"/>
          <w:sz w:val="20"/>
          <w:szCs w:val="20"/>
        </w:rPr>
        <w:t xml:space="preserve">desenvolvido com </w:t>
      </w:r>
      <w:r w:rsidR="002325B9" w:rsidRPr="002325B9">
        <w:rPr>
          <w:rFonts w:ascii="Arial" w:hAnsi="Arial" w:cs="Arial"/>
          <w:sz w:val="20"/>
          <w:szCs w:val="20"/>
        </w:rPr>
        <w:t xml:space="preserve">o intuito de monitorar as equipes que atuam </w:t>
      </w:r>
      <w:r w:rsidR="00584033">
        <w:rPr>
          <w:rFonts w:ascii="Arial" w:hAnsi="Arial" w:cs="Arial"/>
          <w:sz w:val="20"/>
          <w:szCs w:val="20"/>
        </w:rPr>
        <w:t>em</w:t>
      </w:r>
      <w:r w:rsidR="002325B9" w:rsidRPr="002325B9">
        <w:rPr>
          <w:rFonts w:ascii="Arial" w:hAnsi="Arial" w:cs="Arial"/>
          <w:sz w:val="20"/>
          <w:szCs w:val="20"/>
        </w:rPr>
        <w:t xml:space="preserve"> bloco</w:t>
      </w:r>
      <w:r w:rsidR="00584033">
        <w:rPr>
          <w:rFonts w:ascii="Arial" w:hAnsi="Arial" w:cs="Arial"/>
          <w:sz w:val="20"/>
          <w:szCs w:val="20"/>
        </w:rPr>
        <w:t>s</w:t>
      </w:r>
      <w:r w:rsidR="002325B9" w:rsidRPr="002325B9">
        <w:rPr>
          <w:rFonts w:ascii="Arial" w:hAnsi="Arial" w:cs="Arial"/>
          <w:sz w:val="20"/>
          <w:szCs w:val="20"/>
        </w:rPr>
        <w:t xml:space="preserve"> cirúrgico</w:t>
      </w:r>
      <w:r w:rsidR="00584033">
        <w:rPr>
          <w:rFonts w:ascii="Arial" w:hAnsi="Arial" w:cs="Arial"/>
          <w:sz w:val="20"/>
          <w:szCs w:val="20"/>
        </w:rPr>
        <w:t>s hospitalares</w:t>
      </w:r>
      <w:r w:rsidR="002325B9" w:rsidRPr="002325B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Nesse sentido, o</w:t>
      </w:r>
      <w:r w:rsidR="002325B9" w:rsidRPr="002325B9">
        <w:rPr>
          <w:rFonts w:ascii="Arial" w:hAnsi="Arial" w:cs="Arial"/>
          <w:sz w:val="20"/>
          <w:szCs w:val="20"/>
        </w:rPr>
        <w:t xml:space="preserve"> objetivo central </w:t>
      </w:r>
      <w:r>
        <w:rPr>
          <w:rFonts w:ascii="Arial" w:hAnsi="Arial" w:cs="Arial"/>
          <w:sz w:val="20"/>
          <w:szCs w:val="20"/>
        </w:rPr>
        <w:t xml:space="preserve">foi avaliar a confiabilidade e utilidade da plataforma como ferramenta capaz de </w:t>
      </w:r>
      <w:r w:rsidRPr="002325B9">
        <w:rPr>
          <w:rFonts w:ascii="Arial" w:hAnsi="Arial" w:cs="Arial"/>
          <w:sz w:val="20"/>
          <w:szCs w:val="20"/>
        </w:rPr>
        <w:t>identificar</w:t>
      </w:r>
      <w:r w:rsidR="002325B9" w:rsidRPr="002325B9">
        <w:rPr>
          <w:rFonts w:ascii="Arial" w:hAnsi="Arial" w:cs="Arial"/>
          <w:sz w:val="20"/>
          <w:szCs w:val="20"/>
        </w:rPr>
        <w:t xml:space="preserve"> possíveis demandas</w:t>
      </w:r>
      <w:r w:rsidR="009505DB">
        <w:rPr>
          <w:rFonts w:ascii="Arial" w:hAnsi="Arial" w:cs="Arial"/>
          <w:sz w:val="20"/>
          <w:szCs w:val="20"/>
        </w:rPr>
        <w:t>,</w:t>
      </w:r>
      <w:r w:rsidR="002325B9" w:rsidRPr="002325B9">
        <w:rPr>
          <w:rFonts w:ascii="Arial" w:hAnsi="Arial" w:cs="Arial"/>
          <w:sz w:val="20"/>
          <w:szCs w:val="20"/>
        </w:rPr>
        <w:t xml:space="preserve"> necessidades e ajustes no processo de trabalho</w:t>
      </w:r>
      <w:r>
        <w:rPr>
          <w:rFonts w:ascii="Arial" w:hAnsi="Arial" w:cs="Arial"/>
          <w:sz w:val="20"/>
          <w:szCs w:val="20"/>
        </w:rPr>
        <w:t xml:space="preserve"> desenvolvido em centro cirúrgico</w:t>
      </w:r>
      <w:r w:rsidR="002325B9" w:rsidRPr="002325B9">
        <w:rPr>
          <w:rFonts w:ascii="Arial" w:hAnsi="Arial" w:cs="Arial"/>
          <w:sz w:val="20"/>
          <w:szCs w:val="20"/>
        </w:rPr>
        <w:t xml:space="preserve">, visando </w:t>
      </w:r>
      <w:r w:rsidR="009505DB">
        <w:rPr>
          <w:rFonts w:ascii="Arial" w:hAnsi="Arial" w:cs="Arial"/>
          <w:sz w:val="20"/>
          <w:szCs w:val="20"/>
        </w:rPr>
        <w:t xml:space="preserve">a </w:t>
      </w:r>
      <w:r w:rsidR="002325B9" w:rsidRPr="002325B9">
        <w:rPr>
          <w:rFonts w:ascii="Arial" w:hAnsi="Arial" w:cs="Arial"/>
          <w:sz w:val="20"/>
          <w:szCs w:val="20"/>
        </w:rPr>
        <w:t xml:space="preserve">melhorar a segurança e a saúde ocupacional no ambiente hospitalar. </w:t>
      </w:r>
    </w:p>
    <w:p w14:paraId="64FC3176" w14:textId="77777777" w:rsidR="0046664D" w:rsidRPr="00477FAD" w:rsidRDefault="0046664D" w:rsidP="0058403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A0256FB" w14:textId="3B5D8378" w:rsidR="0046664D" w:rsidRPr="00477FAD" w:rsidRDefault="0046664D" w:rsidP="00477FA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77FAD">
        <w:rPr>
          <w:rFonts w:ascii="Arial" w:hAnsi="Arial" w:cs="Arial"/>
          <w:b/>
          <w:bCs/>
          <w:sz w:val="20"/>
          <w:szCs w:val="20"/>
        </w:rPr>
        <w:t xml:space="preserve">MÉTODOS </w:t>
      </w:r>
    </w:p>
    <w:p w14:paraId="6CD30B7C" w14:textId="42CFF98E" w:rsidR="005763AB" w:rsidRDefault="005763AB" w:rsidP="005763AB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pesquisa tem caráter experimental e utiliza uma</w:t>
      </w:r>
      <w:r w:rsidR="0045793D" w:rsidRPr="0045793D">
        <w:rPr>
          <w:rFonts w:ascii="Arial" w:hAnsi="Arial" w:cs="Arial"/>
          <w:sz w:val="20"/>
          <w:szCs w:val="20"/>
        </w:rPr>
        <w:t xml:space="preserve"> abordagem quantitativa</w:t>
      </w:r>
      <w:r>
        <w:rPr>
          <w:rFonts w:ascii="Arial" w:hAnsi="Arial" w:cs="Arial"/>
          <w:sz w:val="20"/>
          <w:szCs w:val="20"/>
        </w:rPr>
        <w:t xml:space="preserve"> para validar</w:t>
      </w:r>
      <w:r w:rsidR="006B5CA8">
        <w:rPr>
          <w:rFonts w:ascii="Arial" w:hAnsi="Arial" w:cs="Arial"/>
          <w:sz w:val="20"/>
          <w:szCs w:val="20"/>
        </w:rPr>
        <w:t xml:space="preserve"> um produto ou instrumento confiável, </w:t>
      </w:r>
      <w:r w:rsidR="006B5CA8" w:rsidRPr="0045793D">
        <w:rPr>
          <w:rFonts w:ascii="Arial" w:hAnsi="Arial" w:cs="Arial"/>
          <w:sz w:val="20"/>
          <w:szCs w:val="20"/>
        </w:rPr>
        <w:t>preciso e utilizável</w:t>
      </w:r>
      <w:r w:rsidR="006B5CA8">
        <w:rPr>
          <w:rFonts w:ascii="Arial" w:hAnsi="Arial" w:cs="Arial"/>
          <w:sz w:val="20"/>
          <w:szCs w:val="20"/>
        </w:rPr>
        <w:t>,</w:t>
      </w:r>
      <w:r w:rsidR="006B5CA8" w:rsidRPr="0045793D">
        <w:rPr>
          <w:rFonts w:ascii="Arial" w:hAnsi="Arial" w:cs="Arial"/>
          <w:sz w:val="20"/>
          <w:szCs w:val="20"/>
        </w:rPr>
        <w:t xml:space="preserve"> </w:t>
      </w:r>
      <w:r w:rsidR="006B5CA8">
        <w:rPr>
          <w:rFonts w:ascii="Arial" w:hAnsi="Arial" w:cs="Arial"/>
          <w:sz w:val="20"/>
          <w:szCs w:val="20"/>
        </w:rPr>
        <w:t xml:space="preserve">para </w:t>
      </w:r>
      <w:r w:rsidR="006B5CA8" w:rsidRPr="0045793D">
        <w:rPr>
          <w:rFonts w:ascii="Arial" w:hAnsi="Arial" w:cs="Arial"/>
          <w:sz w:val="20"/>
          <w:szCs w:val="20"/>
        </w:rPr>
        <w:t>que possa ser aplicado por outros pesquisadore</w:t>
      </w:r>
      <w:r w:rsidR="006B5CA8">
        <w:rPr>
          <w:rFonts w:ascii="Arial" w:hAnsi="Arial" w:cs="Arial"/>
          <w:sz w:val="20"/>
          <w:szCs w:val="20"/>
        </w:rPr>
        <w:t>s (</w:t>
      </w:r>
      <w:r w:rsidR="003A7008">
        <w:rPr>
          <w:rFonts w:ascii="Arial" w:hAnsi="Arial" w:cs="Arial"/>
          <w:sz w:val="20"/>
          <w:szCs w:val="20"/>
        </w:rPr>
        <w:t>FONTENELLES MJ</w:t>
      </w:r>
      <w:r w:rsidR="006B5CA8">
        <w:rPr>
          <w:rFonts w:ascii="Arial" w:hAnsi="Arial" w:cs="Arial"/>
          <w:sz w:val="20"/>
          <w:szCs w:val="20"/>
        </w:rPr>
        <w:t>, 2012)</w:t>
      </w:r>
      <w:r w:rsidR="006B5CA8" w:rsidRPr="0045793D">
        <w:rPr>
          <w:rFonts w:ascii="Arial" w:hAnsi="Arial" w:cs="Arial"/>
          <w:sz w:val="20"/>
          <w:szCs w:val="20"/>
        </w:rPr>
        <w:t xml:space="preserve">. </w:t>
      </w:r>
      <w:r w:rsidR="006B5CA8">
        <w:rPr>
          <w:rFonts w:ascii="Arial" w:hAnsi="Arial" w:cs="Arial"/>
          <w:sz w:val="20"/>
          <w:szCs w:val="20"/>
        </w:rPr>
        <w:t xml:space="preserve">Nesse sentido, a </w:t>
      </w:r>
      <w:r w:rsidRPr="005763AB">
        <w:rPr>
          <w:rFonts w:ascii="Arial" w:hAnsi="Arial" w:cs="Arial"/>
          <w:sz w:val="20"/>
          <w:szCs w:val="20"/>
        </w:rPr>
        <w:t>Plataforma de Apoio</w:t>
      </w:r>
      <w:r w:rsidRPr="00CD208C">
        <w:rPr>
          <w:rFonts w:ascii="Arial" w:hAnsi="Arial" w:cs="Arial"/>
          <w:sz w:val="20"/>
          <w:szCs w:val="20"/>
        </w:rPr>
        <w:t xml:space="preserve"> </w:t>
      </w:r>
      <w:r w:rsidRPr="005763AB">
        <w:rPr>
          <w:rFonts w:ascii="Arial" w:hAnsi="Arial" w:cs="Arial"/>
          <w:sz w:val="20"/>
          <w:szCs w:val="20"/>
        </w:rPr>
        <w:t>Gestão de Segurança Saúde Ocupacional Hospitalar em Centro Cirúrgic</w:t>
      </w:r>
      <w:r w:rsidR="006B5CA8">
        <w:rPr>
          <w:rFonts w:ascii="Arial" w:hAnsi="Arial" w:cs="Arial"/>
          <w:sz w:val="20"/>
          <w:szCs w:val="20"/>
        </w:rPr>
        <w:t xml:space="preserve">o foi desenvolvida, como objeto de mestrado no Programa de Mestrado Profissional em Cirurgia e Pesquisa Experimental da Universidade do Estado do Pará. </w:t>
      </w:r>
    </w:p>
    <w:p w14:paraId="1D6067FA" w14:textId="24649F60" w:rsidR="0045793D" w:rsidRPr="0045793D" w:rsidRDefault="005763AB" w:rsidP="005763AB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</w:t>
      </w:r>
      <w:r w:rsidR="006B5CA8">
        <w:rPr>
          <w:rFonts w:ascii="Arial" w:hAnsi="Arial" w:cs="Arial"/>
          <w:sz w:val="20"/>
          <w:szCs w:val="20"/>
        </w:rPr>
        <w:t>sua validação</w:t>
      </w:r>
      <w:r>
        <w:rPr>
          <w:rFonts w:ascii="Arial" w:hAnsi="Arial" w:cs="Arial"/>
          <w:sz w:val="20"/>
          <w:szCs w:val="20"/>
        </w:rPr>
        <w:t xml:space="preserve">, foi necessário realizar uma avaliação da referida plataforma, a partir da utilização de juízes especialistas. </w:t>
      </w:r>
      <w:r w:rsidR="0045793D" w:rsidRPr="0045793D">
        <w:rPr>
          <w:rFonts w:ascii="Arial" w:hAnsi="Arial" w:cs="Arial"/>
          <w:sz w:val="20"/>
          <w:szCs w:val="20"/>
        </w:rPr>
        <w:t>A pesquisa foi realizada com profissionais da saúde que atuam no centro cirúrgico do Hospital São Rafael, localizado na cidade de Imperatriz-MA, os quais foram denominados de juízes especialistas.</w:t>
      </w:r>
    </w:p>
    <w:p w14:paraId="23D951E4" w14:textId="2AC4F0E8" w:rsidR="0045793D" w:rsidRPr="0045793D" w:rsidRDefault="0045793D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Conforme </w:t>
      </w:r>
      <w:r w:rsidR="003A7008">
        <w:rPr>
          <w:rFonts w:ascii="Arial" w:hAnsi="Arial" w:cs="Arial"/>
          <w:sz w:val="20"/>
          <w:szCs w:val="20"/>
        </w:rPr>
        <w:t xml:space="preserve">VAZZOLER-MENDONÇA, </w:t>
      </w:r>
      <w:r>
        <w:rPr>
          <w:rFonts w:ascii="Arial" w:hAnsi="Arial" w:cs="Arial"/>
          <w:sz w:val="20"/>
          <w:szCs w:val="20"/>
        </w:rPr>
        <w:t>et al. (2023), o</w:t>
      </w:r>
      <w:r w:rsidRPr="0045793D">
        <w:rPr>
          <w:rFonts w:ascii="Arial" w:hAnsi="Arial" w:cs="Arial"/>
          <w:sz w:val="20"/>
          <w:szCs w:val="20"/>
        </w:rPr>
        <w:t xml:space="preserve">s juízes especialistas são profissionais </w:t>
      </w:r>
      <w:r w:rsidRPr="0045793D">
        <w:rPr>
          <w:rFonts w:ascii="Arial" w:hAnsi="Arial" w:cs="Arial"/>
          <w:i/>
          <w:iCs/>
          <w:sz w:val="20"/>
          <w:szCs w:val="20"/>
        </w:rPr>
        <w:t>experts</w:t>
      </w:r>
      <w:r w:rsidRPr="0045793D">
        <w:rPr>
          <w:rFonts w:ascii="Arial" w:hAnsi="Arial" w:cs="Arial"/>
          <w:sz w:val="20"/>
          <w:szCs w:val="20"/>
        </w:rPr>
        <w:t xml:space="preserve"> nos assuntos sobre os quais versam os instrumentos</w:t>
      </w:r>
      <w:r w:rsidR="009505DB">
        <w:rPr>
          <w:rFonts w:ascii="Arial" w:hAnsi="Arial" w:cs="Arial"/>
          <w:sz w:val="20"/>
          <w:szCs w:val="20"/>
        </w:rPr>
        <w:t>.</w:t>
      </w:r>
      <w:r w:rsidRPr="0045793D">
        <w:rPr>
          <w:rFonts w:ascii="Arial" w:hAnsi="Arial" w:cs="Arial"/>
          <w:sz w:val="20"/>
          <w:szCs w:val="20"/>
        </w:rPr>
        <w:t xml:space="preserve"> </w:t>
      </w:r>
      <w:r w:rsidR="009505DB">
        <w:rPr>
          <w:rFonts w:ascii="Arial" w:hAnsi="Arial" w:cs="Arial"/>
          <w:sz w:val="20"/>
          <w:szCs w:val="20"/>
        </w:rPr>
        <w:t>P</w:t>
      </w:r>
      <w:r w:rsidRPr="0045793D">
        <w:rPr>
          <w:rFonts w:ascii="Arial" w:hAnsi="Arial" w:cs="Arial"/>
          <w:sz w:val="20"/>
          <w:szCs w:val="20"/>
        </w:rPr>
        <w:t xml:space="preserve">eritos na área dos construtos, devem ser observadores externos com experiência no </w:t>
      </w:r>
      <w:proofErr w:type="spellStart"/>
      <w:r w:rsidRPr="0045793D">
        <w:rPr>
          <w:rFonts w:ascii="Arial" w:hAnsi="Arial" w:cs="Arial"/>
          <w:sz w:val="20"/>
          <w:szCs w:val="20"/>
        </w:rPr>
        <w:t>domínio-alvo</w:t>
      </w:r>
      <w:proofErr w:type="spellEnd"/>
      <w:r w:rsidRPr="0045793D">
        <w:rPr>
          <w:rFonts w:ascii="Arial" w:hAnsi="Arial" w:cs="Arial"/>
          <w:sz w:val="20"/>
          <w:szCs w:val="20"/>
        </w:rPr>
        <w:t xml:space="preserve"> e devem avaliar segundo seus próprios julgamentos, objetivos e subjetivos, independentemente dos demais. </w:t>
      </w:r>
      <w:r>
        <w:rPr>
          <w:rFonts w:ascii="Arial" w:hAnsi="Arial" w:cs="Arial"/>
          <w:sz w:val="20"/>
          <w:szCs w:val="20"/>
        </w:rPr>
        <w:t xml:space="preserve">Não obstante, </w:t>
      </w:r>
      <w:r w:rsidRPr="0045793D">
        <w:rPr>
          <w:rFonts w:ascii="Arial" w:hAnsi="Arial" w:cs="Arial"/>
          <w:sz w:val="20"/>
          <w:szCs w:val="20"/>
        </w:rPr>
        <w:t>a utilização de muitos juízes poderá́ diminuir os vieses subjetivos nestas avaliações, porém infere</w:t>
      </w:r>
      <w:r w:rsidR="009505DB">
        <w:rPr>
          <w:rFonts w:ascii="Arial" w:hAnsi="Arial" w:cs="Arial"/>
          <w:sz w:val="20"/>
          <w:szCs w:val="20"/>
        </w:rPr>
        <w:t>-se</w:t>
      </w:r>
      <w:r w:rsidRPr="0045793D">
        <w:rPr>
          <w:rFonts w:ascii="Arial" w:hAnsi="Arial" w:cs="Arial"/>
          <w:sz w:val="20"/>
          <w:szCs w:val="20"/>
        </w:rPr>
        <w:t xml:space="preserve"> que seis juízes pode ser um número suficiente, mas recomenda</w:t>
      </w:r>
      <w:r w:rsidR="009505DB">
        <w:rPr>
          <w:rFonts w:ascii="Arial" w:hAnsi="Arial" w:cs="Arial"/>
          <w:sz w:val="20"/>
          <w:szCs w:val="20"/>
        </w:rPr>
        <w:t>-se</w:t>
      </w:r>
      <w:r w:rsidRPr="0045793D">
        <w:rPr>
          <w:rFonts w:ascii="Arial" w:hAnsi="Arial" w:cs="Arial"/>
          <w:sz w:val="20"/>
          <w:szCs w:val="20"/>
        </w:rPr>
        <w:t xml:space="preserve"> que esse número seja ímpar, para se evitar empates</w:t>
      </w:r>
      <w:r>
        <w:rPr>
          <w:rFonts w:ascii="Arial" w:hAnsi="Arial" w:cs="Arial"/>
          <w:sz w:val="20"/>
          <w:szCs w:val="20"/>
        </w:rPr>
        <w:t xml:space="preserve"> (</w:t>
      </w:r>
      <w:r w:rsidR="007F758D">
        <w:rPr>
          <w:rFonts w:ascii="Arial" w:hAnsi="Arial" w:cs="Arial"/>
          <w:sz w:val="20"/>
          <w:szCs w:val="20"/>
        </w:rPr>
        <w:t>PASQUALI L</w:t>
      </w:r>
      <w:r w:rsidR="00732A87">
        <w:rPr>
          <w:rFonts w:ascii="Arial" w:hAnsi="Arial" w:cs="Arial"/>
          <w:sz w:val="20"/>
          <w:szCs w:val="20"/>
        </w:rPr>
        <w:t>, 1996</w:t>
      </w:r>
      <w:r>
        <w:rPr>
          <w:rFonts w:ascii="Arial" w:hAnsi="Arial" w:cs="Arial"/>
          <w:sz w:val="20"/>
          <w:szCs w:val="20"/>
        </w:rPr>
        <w:t>)</w:t>
      </w:r>
      <w:r w:rsidRPr="0045793D">
        <w:rPr>
          <w:rFonts w:ascii="Arial" w:hAnsi="Arial" w:cs="Arial"/>
          <w:sz w:val="20"/>
          <w:szCs w:val="20"/>
        </w:rPr>
        <w:t>.</w:t>
      </w:r>
    </w:p>
    <w:p w14:paraId="42FADC85" w14:textId="6EE95D4B" w:rsidR="00732A87" w:rsidRDefault="00732A87" w:rsidP="00732A87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Nesse contexto, p</w:t>
      </w:r>
      <w:r w:rsidR="0045793D" w:rsidRPr="0045793D">
        <w:rPr>
          <w:rFonts w:ascii="Arial" w:hAnsi="Arial" w:cs="Arial"/>
          <w:sz w:val="20"/>
          <w:szCs w:val="20"/>
        </w:rPr>
        <w:t>ara esse estudo, foram definidos 11 juízes</w:t>
      </w:r>
      <w:r>
        <w:rPr>
          <w:rFonts w:ascii="Arial" w:hAnsi="Arial" w:cs="Arial"/>
          <w:sz w:val="20"/>
          <w:szCs w:val="20"/>
        </w:rPr>
        <w:t>, dos quais: 02 (dois)</w:t>
      </w:r>
      <w:r w:rsidR="009505DB">
        <w:rPr>
          <w:rFonts w:ascii="Arial" w:hAnsi="Arial" w:cs="Arial"/>
          <w:sz w:val="20"/>
          <w:szCs w:val="20"/>
        </w:rPr>
        <w:t xml:space="preserve"> são</w:t>
      </w:r>
      <w:r>
        <w:rPr>
          <w:rFonts w:ascii="Arial" w:hAnsi="Arial" w:cs="Arial"/>
          <w:sz w:val="20"/>
          <w:szCs w:val="20"/>
        </w:rPr>
        <w:t xml:space="preserve"> enfermeiros do trabalho, 01 (um)</w:t>
      </w:r>
      <w:r w:rsidR="009505DB">
        <w:rPr>
          <w:rFonts w:ascii="Arial" w:hAnsi="Arial" w:cs="Arial"/>
          <w:sz w:val="20"/>
          <w:szCs w:val="20"/>
        </w:rPr>
        <w:t xml:space="preserve"> é</w:t>
      </w:r>
      <w:r>
        <w:rPr>
          <w:rFonts w:ascii="Arial" w:hAnsi="Arial" w:cs="Arial"/>
          <w:sz w:val="20"/>
          <w:szCs w:val="20"/>
        </w:rPr>
        <w:t xml:space="preserve"> médico do trabalho, 04 (quatro) </w:t>
      </w:r>
      <w:r w:rsidR="009505DB">
        <w:rPr>
          <w:rFonts w:ascii="Arial" w:hAnsi="Arial" w:cs="Arial"/>
          <w:sz w:val="20"/>
          <w:szCs w:val="20"/>
        </w:rPr>
        <w:t xml:space="preserve">são </w:t>
      </w:r>
      <w:r>
        <w:rPr>
          <w:rFonts w:ascii="Arial" w:hAnsi="Arial" w:cs="Arial"/>
          <w:sz w:val="20"/>
          <w:szCs w:val="20"/>
        </w:rPr>
        <w:t xml:space="preserve">fisioterapeutas, 02 (dois) </w:t>
      </w:r>
      <w:r w:rsidR="009505DB">
        <w:rPr>
          <w:rFonts w:ascii="Arial" w:hAnsi="Arial" w:cs="Arial"/>
          <w:sz w:val="20"/>
          <w:szCs w:val="20"/>
        </w:rPr>
        <w:t xml:space="preserve">são </w:t>
      </w:r>
      <w:r>
        <w:rPr>
          <w:rFonts w:ascii="Arial" w:hAnsi="Arial" w:cs="Arial"/>
          <w:sz w:val="20"/>
          <w:szCs w:val="20"/>
        </w:rPr>
        <w:t>psicólogos,</w:t>
      </w:r>
      <w:r w:rsidR="0045793D" w:rsidRPr="004579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02 (dois) </w:t>
      </w:r>
      <w:r w:rsidR="009505DB">
        <w:rPr>
          <w:rFonts w:ascii="Arial" w:hAnsi="Arial" w:cs="Arial"/>
          <w:sz w:val="20"/>
          <w:szCs w:val="20"/>
        </w:rPr>
        <w:t xml:space="preserve">são </w:t>
      </w:r>
      <w:r>
        <w:rPr>
          <w:rFonts w:ascii="Arial" w:hAnsi="Arial" w:cs="Arial"/>
          <w:sz w:val="20"/>
          <w:szCs w:val="20"/>
        </w:rPr>
        <w:t>assistentes sociais, 01 (</w:t>
      </w:r>
      <w:proofErr w:type="gramStart"/>
      <w:r>
        <w:rPr>
          <w:rFonts w:ascii="Arial" w:hAnsi="Arial" w:cs="Arial"/>
          <w:sz w:val="20"/>
          <w:szCs w:val="20"/>
        </w:rPr>
        <w:t xml:space="preserve">um) </w:t>
      </w:r>
      <w:r w:rsidR="009505DB">
        <w:rPr>
          <w:rFonts w:ascii="Arial" w:hAnsi="Arial" w:cs="Arial"/>
          <w:sz w:val="20"/>
          <w:szCs w:val="20"/>
        </w:rPr>
        <w:t xml:space="preserve"> é</w:t>
      </w:r>
      <w:proofErr w:type="gramEnd"/>
      <w:r w:rsidR="009505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engenheiro de segurança do trabalho, 01 (um) </w:t>
      </w:r>
      <w:r w:rsidR="009505DB">
        <w:rPr>
          <w:rFonts w:ascii="Arial" w:hAnsi="Arial" w:cs="Arial"/>
          <w:sz w:val="20"/>
          <w:szCs w:val="20"/>
        </w:rPr>
        <w:t xml:space="preserve">é </w:t>
      </w:r>
      <w:r>
        <w:rPr>
          <w:rFonts w:ascii="Arial" w:hAnsi="Arial" w:cs="Arial"/>
          <w:sz w:val="20"/>
          <w:szCs w:val="20"/>
        </w:rPr>
        <w:t xml:space="preserve">técnico de segurança do trabalho e, por fim, 01 (um) </w:t>
      </w:r>
      <w:r w:rsidR="009505DB">
        <w:rPr>
          <w:rFonts w:ascii="Arial" w:hAnsi="Arial" w:cs="Arial"/>
          <w:sz w:val="20"/>
          <w:szCs w:val="20"/>
        </w:rPr>
        <w:t xml:space="preserve">é </w:t>
      </w:r>
      <w:r>
        <w:rPr>
          <w:rFonts w:ascii="Arial" w:hAnsi="Arial" w:cs="Arial"/>
          <w:sz w:val="20"/>
          <w:szCs w:val="20"/>
        </w:rPr>
        <w:t>cirurgião</w:t>
      </w:r>
      <w:r w:rsidR="009505D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839B57E" w14:textId="48F45B58" w:rsidR="007F758D" w:rsidRDefault="009505DB" w:rsidP="007F758D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Tais juízes foram escolhidos segundo critérios de inclusão determinados, quais sejam: </w:t>
      </w:r>
      <w:r w:rsidR="0045793D" w:rsidRPr="0045793D">
        <w:rPr>
          <w:rFonts w:ascii="Arial" w:hAnsi="Arial" w:cs="Arial"/>
          <w:sz w:val="20"/>
          <w:szCs w:val="20"/>
        </w:rPr>
        <w:t xml:space="preserve">atuar há mais de dois anos no ambiente hospitalar, atuar diretamente no bloco cirúrgico e concordar em participar da pesquisa. </w:t>
      </w:r>
    </w:p>
    <w:p w14:paraId="5B6AFE95" w14:textId="0472191A" w:rsidR="006B5CA8" w:rsidRPr="006B5CA8" w:rsidRDefault="005763AB" w:rsidP="006B5CA8">
      <w:pPr>
        <w:pStyle w:val="NormalWeb"/>
        <w:spacing w:before="24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</w:t>
      </w:r>
      <w:r w:rsidR="006B5CA8">
        <w:rPr>
          <w:rFonts w:ascii="Arial" w:hAnsi="Arial" w:cs="Arial"/>
          <w:sz w:val="20"/>
          <w:szCs w:val="20"/>
        </w:rPr>
        <w:t>validação</w:t>
      </w:r>
      <w:r>
        <w:rPr>
          <w:rFonts w:ascii="Arial" w:hAnsi="Arial" w:cs="Arial"/>
          <w:sz w:val="20"/>
          <w:szCs w:val="20"/>
        </w:rPr>
        <w:t xml:space="preserve"> da plataforma, foi realizado um </w:t>
      </w:r>
      <w:r w:rsidR="006B5CA8" w:rsidRPr="006B5CA8">
        <w:rPr>
          <w:rFonts w:ascii="Arial" w:hAnsi="Arial" w:cs="Arial"/>
          <w:sz w:val="20"/>
          <w:szCs w:val="20"/>
        </w:rPr>
        <w:t xml:space="preserve">instrumento de validação </w:t>
      </w:r>
      <w:r w:rsidR="006B5CA8">
        <w:rPr>
          <w:rFonts w:ascii="Arial" w:hAnsi="Arial" w:cs="Arial"/>
          <w:sz w:val="20"/>
          <w:szCs w:val="20"/>
        </w:rPr>
        <w:t xml:space="preserve">com 10 </w:t>
      </w:r>
      <w:r w:rsidR="006B5CA8" w:rsidRPr="006B5CA8">
        <w:rPr>
          <w:rFonts w:ascii="Arial" w:hAnsi="Arial" w:cs="Arial"/>
          <w:sz w:val="20"/>
          <w:szCs w:val="20"/>
        </w:rPr>
        <w:t>afirmativas</w:t>
      </w:r>
      <w:r w:rsidR="006B5CA8">
        <w:rPr>
          <w:rFonts w:ascii="Arial" w:hAnsi="Arial" w:cs="Arial"/>
          <w:sz w:val="20"/>
          <w:szCs w:val="20"/>
        </w:rPr>
        <w:t xml:space="preserve">. </w:t>
      </w:r>
      <w:r w:rsidR="006B5CA8" w:rsidRPr="006B5CA8">
        <w:rPr>
          <w:rFonts w:ascii="Arial" w:hAnsi="Arial" w:cs="Arial"/>
          <w:sz w:val="20"/>
          <w:szCs w:val="20"/>
        </w:rPr>
        <w:t>Cada uma delas fora</w:t>
      </w:r>
      <w:r w:rsidR="006B5CA8">
        <w:rPr>
          <w:rFonts w:ascii="Arial" w:hAnsi="Arial" w:cs="Arial"/>
          <w:sz w:val="20"/>
          <w:szCs w:val="20"/>
        </w:rPr>
        <w:t xml:space="preserve"> </w:t>
      </w:r>
      <w:r w:rsidR="006B5CA8" w:rsidRPr="006B5CA8">
        <w:rPr>
          <w:rFonts w:ascii="Arial" w:hAnsi="Arial" w:cs="Arial"/>
          <w:sz w:val="20"/>
          <w:szCs w:val="20"/>
        </w:rPr>
        <w:t>distribuída, em uma escala do tipo Likert, com cinco opções de marcação para cada afirmativa, com pontuações predefinidas, sem que os</w:t>
      </w:r>
      <w:r w:rsidR="006B5CA8">
        <w:rPr>
          <w:rFonts w:ascii="Arial" w:hAnsi="Arial" w:cs="Arial"/>
          <w:sz w:val="20"/>
          <w:szCs w:val="20"/>
        </w:rPr>
        <w:t xml:space="preserve"> juízes</w:t>
      </w:r>
      <w:r w:rsidR="006B5CA8" w:rsidRPr="006B5CA8">
        <w:rPr>
          <w:rFonts w:ascii="Arial" w:hAnsi="Arial" w:cs="Arial"/>
          <w:sz w:val="20"/>
          <w:szCs w:val="20"/>
        </w:rPr>
        <w:t xml:space="preserve"> soubessem antecipadamente. Assim podiam marcar em cada afirmativa: Discordo Totalmente (1ponto); Discordo Parcialmente (2 pontos); Indiferente (3 pontos); Concordo Parcialmente (4 pontos); e Concordo Totalmente (5 pontos). Dessa forma, o simulador poderia obter em cada afirmativa o</w:t>
      </w:r>
      <w:r w:rsidR="006B5CA8">
        <w:rPr>
          <w:rFonts w:ascii="Arial" w:hAnsi="Arial" w:cs="Arial"/>
          <w:sz w:val="20"/>
          <w:szCs w:val="20"/>
        </w:rPr>
        <w:t xml:space="preserve"> </w:t>
      </w:r>
      <w:r w:rsidR="006B5CA8" w:rsidRPr="006B5CA8">
        <w:rPr>
          <w:rFonts w:ascii="Arial" w:hAnsi="Arial" w:cs="Arial"/>
          <w:sz w:val="20"/>
          <w:szCs w:val="20"/>
        </w:rPr>
        <w:t xml:space="preserve">mínimo de </w:t>
      </w:r>
      <w:r w:rsidR="006B5CA8">
        <w:rPr>
          <w:rFonts w:ascii="Arial" w:hAnsi="Arial" w:cs="Arial"/>
          <w:sz w:val="20"/>
          <w:szCs w:val="20"/>
        </w:rPr>
        <w:t>11</w:t>
      </w:r>
      <w:r w:rsidR="006B5CA8" w:rsidRPr="006B5CA8">
        <w:rPr>
          <w:rFonts w:ascii="Arial" w:hAnsi="Arial" w:cs="Arial"/>
          <w:sz w:val="20"/>
          <w:szCs w:val="20"/>
        </w:rPr>
        <w:t xml:space="preserve"> pontos e no máximo </w:t>
      </w:r>
      <w:r w:rsidR="006B5CA8">
        <w:rPr>
          <w:rFonts w:ascii="Arial" w:hAnsi="Arial" w:cs="Arial"/>
          <w:sz w:val="20"/>
          <w:szCs w:val="20"/>
        </w:rPr>
        <w:t>55</w:t>
      </w:r>
      <w:r w:rsidR="006B5CA8" w:rsidRPr="006B5CA8">
        <w:rPr>
          <w:rFonts w:ascii="Arial" w:hAnsi="Arial" w:cs="Arial"/>
          <w:sz w:val="20"/>
          <w:szCs w:val="20"/>
        </w:rPr>
        <w:t xml:space="preserve">, para cada um dos </w:t>
      </w:r>
      <w:r w:rsidR="006B5CA8">
        <w:rPr>
          <w:rFonts w:ascii="Arial" w:hAnsi="Arial" w:cs="Arial"/>
          <w:sz w:val="20"/>
          <w:szCs w:val="20"/>
        </w:rPr>
        <w:t>11</w:t>
      </w:r>
      <w:r w:rsidR="006B5CA8" w:rsidRPr="006B5CA8">
        <w:rPr>
          <w:rFonts w:ascii="Arial" w:hAnsi="Arial" w:cs="Arial"/>
          <w:sz w:val="20"/>
          <w:szCs w:val="20"/>
        </w:rPr>
        <w:t xml:space="preserve"> </w:t>
      </w:r>
      <w:r w:rsidR="006B5CA8">
        <w:rPr>
          <w:rFonts w:ascii="Arial" w:hAnsi="Arial" w:cs="Arial"/>
          <w:sz w:val="20"/>
          <w:szCs w:val="20"/>
        </w:rPr>
        <w:t>juízes</w:t>
      </w:r>
      <w:r w:rsidR="006B5CA8" w:rsidRPr="006B5CA8">
        <w:rPr>
          <w:rFonts w:ascii="Arial" w:hAnsi="Arial" w:cs="Arial"/>
          <w:sz w:val="20"/>
          <w:szCs w:val="20"/>
        </w:rPr>
        <w:t xml:space="preserve"> respondentes do instrumento.</w:t>
      </w:r>
    </w:p>
    <w:p w14:paraId="3CDF6121" w14:textId="32C01A4C" w:rsidR="005763AB" w:rsidRPr="0045793D" w:rsidRDefault="006B5CA8" w:rsidP="006B5CA8">
      <w:pPr>
        <w:pStyle w:val="NormalWeb"/>
        <w:spacing w:before="24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6B5CA8">
        <w:rPr>
          <w:rFonts w:ascii="Arial" w:hAnsi="Arial" w:cs="Arial"/>
          <w:sz w:val="20"/>
          <w:szCs w:val="20"/>
        </w:rPr>
        <w:t>A partir de então, os dados coletados nos instrumentos</w:t>
      </w:r>
      <w:r>
        <w:rPr>
          <w:rFonts w:ascii="Arial" w:hAnsi="Arial" w:cs="Arial"/>
          <w:sz w:val="20"/>
          <w:szCs w:val="20"/>
        </w:rPr>
        <w:t xml:space="preserve"> </w:t>
      </w:r>
      <w:r w:rsidRPr="006B5CA8">
        <w:rPr>
          <w:rFonts w:ascii="Arial" w:hAnsi="Arial" w:cs="Arial"/>
          <w:sz w:val="20"/>
          <w:szCs w:val="20"/>
        </w:rPr>
        <w:t xml:space="preserve">foram organizados em tabelas para síntese e organização para posteriormente serem submetidos à análise quantitativa por meio do teste de Coeficiente </w:t>
      </w:r>
      <w:r w:rsidRPr="006B5CA8">
        <w:rPr>
          <w:rFonts w:ascii="Arial" w:hAnsi="Arial" w:cs="Arial"/>
          <w:sz w:val="20"/>
          <w:szCs w:val="20"/>
        </w:rPr>
        <w:lastRenderedPageBreak/>
        <w:t xml:space="preserve">Alfa de Cronbach, considerando que </w:t>
      </w:r>
      <w:r>
        <w:rPr>
          <w:rFonts w:ascii="Arial" w:hAnsi="Arial" w:cs="Arial"/>
          <w:sz w:val="20"/>
          <w:szCs w:val="20"/>
        </w:rPr>
        <w:t>55</w:t>
      </w:r>
      <w:r w:rsidRPr="006B5CA8">
        <w:rPr>
          <w:rFonts w:ascii="Arial" w:hAnsi="Arial" w:cs="Arial"/>
          <w:sz w:val="20"/>
          <w:szCs w:val="20"/>
        </w:rPr>
        <w:t xml:space="preserve"> pontos seria a pontuação máxima para cada pergunta (número de participantes multiplicado pela pontuação máxima de 5 na escala Likert).</w:t>
      </w:r>
    </w:p>
    <w:p w14:paraId="542AA82F" w14:textId="674210C6" w:rsidR="0045793D" w:rsidRPr="0045793D" w:rsidRDefault="006B5CA8" w:rsidP="00732A87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5793D" w:rsidRPr="0045793D">
        <w:rPr>
          <w:rFonts w:ascii="Arial" w:hAnsi="Arial" w:cs="Arial"/>
          <w:sz w:val="20"/>
          <w:szCs w:val="20"/>
        </w:rPr>
        <w:t xml:space="preserve">Coeficiente Alfa de Cronbach </w:t>
      </w:r>
      <w:proofErr w:type="gramStart"/>
      <w:r w:rsidR="0045793D" w:rsidRPr="0045793D">
        <w:rPr>
          <w:rFonts w:ascii="Arial" w:hAnsi="Arial" w:cs="Arial"/>
          <w:sz w:val="20"/>
          <w:szCs w:val="20"/>
        </w:rPr>
        <w:t>(</w:t>
      </w:r>
      <w:r w:rsidR="0045793D" w:rsidRPr="0045793D">
        <w:rPr>
          <w:rFonts w:ascii="Arial" w:hAnsi="Arial" w:cs="Arial"/>
          <w:sz w:val="20"/>
          <w:szCs w:val="20"/>
        </w:rPr>
        <w:sym w:font="Symbol" w:char="F061"/>
      </w:r>
      <w:r w:rsidR="0045793D" w:rsidRPr="0045793D">
        <w:rPr>
          <w:rFonts w:ascii="Arial" w:hAnsi="Arial" w:cs="Arial"/>
          <w:sz w:val="20"/>
          <w:szCs w:val="20"/>
        </w:rPr>
        <w:t xml:space="preserve"> )</w:t>
      </w:r>
      <w:proofErr w:type="gramEnd"/>
      <w:r w:rsidR="0045793D" w:rsidRPr="0045793D">
        <w:rPr>
          <w:rFonts w:ascii="Arial" w:hAnsi="Arial" w:cs="Arial"/>
          <w:sz w:val="20"/>
          <w:szCs w:val="20"/>
        </w:rPr>
        <w:t xml:space="preserve"> é uma medida comumente utilizada de confiabilidade (ou seja, a avaliação da consistência int</w:t>
      </w:r>
      <w:r w:rsidR="0045793D" w:rsidRPr="0045793D">
        <w:rPr>
          <w:rFonts w:ascii="Arial" w:hAnsi="Arial" w:cs="Arial"/>
          <w:color w:val="000000" w:themeColor="text1"/>
          <w:sz w:val="20"/>
          <w:szCs w:val="20"/>
        </w:rPr>
        <w:t xml:space="preserve">erna dos questionários) para um conjunto de dois ou mais indicadores de construto. Os valores </w:t>
      </w:r>
      <w:proofErr w:type="gramStart"/>
      <w:r w:rsidR="0045793D" w:rsidRPr="0045793D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45793D" w:rsidRPr="0045793D">
        <w:rPr>
          <w:rFonts w:ascii="Arial" w:hAnsi="Arial" w:cs="Arial"/>
          <w:color w:val="000000" w:themeColor="text1"/>
          <w:sz w:val="20"/>
          <w:szCs w:val="20"/>
        </w:rPr>
        <w:sym w:font="Symbol" w:char="F061"/>
      </w:r>
      <w:r w:rsidR="0045793D" w:rsidRPr="0045793D">
        <w:rPr>
          <w:rFonts w:ascii="Arial" w:hAnsi="Arial" w:cs="Arial"/>
          <w:color w:val="000000" w:themeColor="text1"/>
          <w:sz w:val="20"/>
          <w:szCs w:val="20"/>
        </w:rPr>
        <w:t xml:space="preserve"> variam</w:t>
      </w:r>
      <w:proofErr w:type="gramEnd"/>
      <w:r w:rsidR="0045793D" w:rsidRPr="0045793D">
        <w:rPr>
          <w:rFonts w:ascii="Arial" w:hAnsi="Arial" w:cs="Arial"/>
          <w:color w:val="000000" w:themeColor="text1"/>
          <w:sz w:val="20"/>
          <w:szCs w:val="20"/>
        </w:rPr>
        <w:t xml:space="preserve"> de 0 a 1,0;</w:t>
      </w:r>
      <w:r w:rsidR="009505DB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="0045793D" w:rsidRPr="0045793D">
        <w:rPr>
          <w:rFonts w:ascii="Arial" w:hAnsi="Arial" w:cs="Arial"/>
          <w:color w:val="000000" w:themeColor="text1"/>
          <w:sz w:val="20"/>
          <w:szCs w:val="20"/>
        </w:rPr>
        <w:t xml:space="preserve"> quanto mais próximo de 1, maior confiabilidade entre os indicadore</w:t>
      </w:r>
      <w:r w:rsidR="00732A87">
        <w:rPr>
          <w:rFonts w:ascii="Arial" w:hAnsi="Arial" w:cs="Arial"/>
          <w:color w:val="000000" w:themeColor="text1"/>
          <w:sz w:val="20"/>
          <w:szCs w:val="20"/>
        </w:rPr>
        <w:t>s (Souza et al., 2017)</w:t>
      </w:r>
      <w:r w:rsidR="0045793D" w:rsidRPr="0045793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A88120" w14:textId="77777777" w:rsidR="0046664D" w:rsidRPr="00477FAD" w:rsidRDefault="0046664D" w:rsidP="00477FAD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6EA396" w14:textId="3525F399" w:rsidR="0046664D" w:rsidRPr="00477FAD" w:rsidRDefault="0046664D" w:rsidP="00477FA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77FAD">
        <w:rPr>
          <w:rFonts w:ascii="Arial" w:hAnsi="Arial" w:cs="Arial"/>
          <w:b/>
          <w:bCs/>
          <w:sz w:val="20"/>
          <w:szCs w:val="20"/>
        </w:rPr>
        <w:t xml:space="preserve">RESULTADOS </w:t>
      </w:r>
      <w:r w:rsidR="00467BC7">
        <w:rPr>
          <w:rFonts w:ascii="Arial" w:hAnsi="Arial" w:cs="Arial"/>
          <w:b/>
          <w:bCs/>
          <w:sz w:val="20"/>
          <w:szCs w:val="20"/>
        </w:rPr>
        <w:t>E DISCUSSÃO</w:t>
      </w:r>
    </w:p>
    <w:p w14:paraId="7677C68A" w14:textId="41CE96EE" w:rsidR="00F971BD" w:rsidRPr="00F971BD" w:rsidRDefault="00F971BD" w:rsidP="00F971BD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71BD">
        <w:rPr>
          <w:rFonts w:ascii="Arial" w:hAnsi="Arial" w:cs="Arial"/>
          <w:color w:val="000000" w:themeColor="text1"/>
          <w:sz w:val="20"/>
          <w:szCs w:val="20"/>
        </w:rPr>
        <w:t>Nos anos 2000, a Política de Informação e Informática do Sistema Único de Saúde (SUS) fortaleceu o uso de Tecnologias de Informação e Comunicação (TICS) na saúde com o intuito de manter a funcionamentos articulado, atualizado e compatível dos sistema</w:t>
      </w:r>
      <w:r>
        <w:rPr>
          <w:rFonts w:ascii="Arial" w:hAnsi="Arial" w:cs="Arial"/>
          <w:color w:val="000000" w:themeColor="text1"/>
          <w:sz w:val="20"/>
          <w:szCs w:val="20"/>
        </w:rPr>
        <w:t>s (</w:t>
      </w:r>
      <w:r w:rsidR="00B060A5">
        <w:rPr>
          <w:rFonts w:ascii="Arial" w:hAnsi="Arial" w:cs="Arial"/>
          <w:color w:val="000000" w:themeColor="text1"/>
          <w:sz w:val="20"/>
          <w:szCs w:val="20"/>
        </w:rPr>
        <w:t>BENDER</w:t>
      </w:r>
      <w:r>
        <w:rPr>
          <w:rFonts w:ascii="Arial" w:hAnsi="Arial" w:cs="Arial"/>
          <w:color w:val="000000" w:themeColor="text1"/>
          <w:sz w:val="20"/>
          <w:szCs w:val="20"/>
        </w:rPr>
        <w:t>, et al., 2018)</w:t>
      </w:r>
      <w:r w:rsidRPr="00F971B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C08A3FA" w14:textId="12E8269D" w:rsidR="00F971BD" w:rsidRPr="00F971BD" w:rsidRDefault="00F971BD" w:rsidP="00F971BD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71BD">
        <w:rPr>
          <w:rFonts w:ascii="Arial" w:hAnsi="Arial" w:cs="Arial"/>
          <w:color w:val="000000" w:themeColor="text1"/>
          <w:sz w:val="20"/>
          <w:szCs w:val="20"/>
        </w:rPr>
        <w:t xml:space="preserve">Nesse contexto, as tecnologias educacionais estão surgindo como estratégias para otimizar o processo de trabalho e manter os dados dos serviços atualizados. Assim, é possível identificar os avanços na área da Saúde Ocupacional como o </w:t>
      </w:r>
      <w:proofErr w:type="spellStart"/>
      <w:r w:rsidRPr="00F971BD">
        <w:rPr>
          <w:rFonts w:ascii="Arial" w:hAnsi="Arial" w:cs="Arial"/>
          <w:i/>
          <w:iCs/>
          <w:color w:val="000000" w:themeColor="text1"/>
          <w:sz w:val="20"/>
          <w:szCs w:val="20"/>
        </w:rPr>
        <w:t>By</w:t>
      </w:r>
      <w:proofErr w:type="spellEnd"/>
      <w:r w:rsidRPr="00F971B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F971BD">
        <w:rPr>
          <w:rFonts w:ascii="Arial" w:hAnsi="Arial" w:cs="Arial"/>
          <w:i/>
          <w:iCs/>
          <w:color w:val="000000" w:themeColor="text1"/>
          <w:sz w:val="20"/>
          <w:szCs w:val="20"/>
        </w:rPr>
        <w:t>Your</w:t>
      </w:r>
      <w:proofErr w:type="spellEnd"/>
      <w:r w:rsidRPr="00F971B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F971BD">
        <w:rPr>
          <w:rFonts w:ascii="Arial" w:hAnsi="Arial" w:cs="Arial"/>
          <w:i/>
          <w:iCs/>
          <w:color w:val="000000" w:themeColor="text1"/>
          <w:sz w:val="20"/>
          <w:szCs w:val="20"/>
        </w:rPr>
        <w:t>Side</w:t>
      </w:r>
      <w:proofErr w:type="spellEnd"/>
      <w:r w:rsidRPr="00F971BD">
        <w:rPr>
          <w:rFonts w:ascii="Arial" w:hAnsi="Arial" w:cs="Arial"/>
          <w:color w:val="000000" w:themeColor="text1"/>
          <w:sz w:val="20"/>
          <w:szCs w:val="20"/>
        </w:rPr>
        <w:t xml:space="preserve"> (BYS), um aplicativo de saúde ocupacional para os profissionais de saúde do Hospital Universitário da Universidade de Sergipe (HU-UFS), localizado na cidade de Aracaju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 Estado de Sergipe (</w:t>
      </w:r>
      <w:r w:rsidR="007F758D">
        <w:rPr>
          <w:rFonts w:ascii="Arial" w:hAnsi="Arial" w:cs="Arial"/>
          <w:color w:val="000000" w:themeColor="text1"/>
          <w:sz w:val="20"/>
          <w:szCs w:val="20"/>
        </w:rPr>
        <w:t>AQUINO FFS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et al., </w:t>
      </w:r>
      <w:r w:rsidRPr="007F758D">
        <w:rPr>
          <w:rFonts w:ascii="Arial" w:hAnsi="Arial" w:cs="Arial"/>
          <w:color w:val="000000" w:themeColor="text1"/>
          <w:sz w:val="20"/>
          <w:szCs w:val="20"/>
        </w:rPr>
        <w:t>202</w:t>
      </w:r>
      <w:r w:rsidR="007F758D" w:rsidRPr="007F758D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Pr="00F971B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DFDB50F" w14:textId="3B089F00" w:rsidR="00467BC7" w:rsidRDefault="00845C33" w:rsidP="00FA28A3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Dentre as ações que fortalecem o uso de tecnologias educacionais, surge </w:t>
      </w:r>
      <w:r w:rsidR="00BD6796">
        <w:rPr>
          <w:rFonts w:ascii="Arial" w:hAnsi="Arial" w:cs="Arial"/>
          <w:color w:val="000000" w:themeColor="text1"/>
          <w:sz w:val="20"/>
          <w:szCs w:val="20"/>
        </w:rPr>
        <w:t>a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plataforma de gestão do Sistema de Segurança e Saúde Ocupacional Hospitalar (SSOH) em centro cirúrgico (CC), para monitorar as equipes que atuam no setor</w:t>
      </w:r>
      <w:r w:rsidR="00BD6796">
        <w:rPr>
          <w:rFonts w:ascii="Arial" w:hAnsi="Arial" w:cs="Arial"/>
          <w:color w:val="000000" w:themeColor="text1"/>
          <w:sz w:val="20"/>
          <w:szCs w:val="20"/>
        </w:rPr>
        <w:t xml:space="preserve">, conforme as diretrizes contidas na 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>NR 32</w:t>
      </w:r>
      <w:r w:rsidR="00BD6796">
        <w:rPr>
          <w:rFonts w:ascii="Arial" w:hAnsi="Arial" w:cs="Arial"/>
          <w:color w:val="000000" w:themeColor="text1"/>
          <w:sz w:val="20"/>
          <w:szCs w:val="20"/>
        </w:rPr>
        <w:t xml:space="preserve">. Essa foi projetada para ser 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alimentada pela equipe SESMET e coordenador do bloco cirúrgico. </w:t>
      </w:r>
    </w:p>
    <w:p w14:paraId="3B1E2321" w14:textId="113E8255" w:rsidR="00467BC7" w:rsidRDefault="00BD6796" w:rsidP="00FA28A3">
      <w:pPr>
        <w:spacing w:before="24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Também </w:t>
      </w:r>
      <w:r w:rsidR="00467BC7" w:rsidRPr="00467BC7">
        <w:rPr>
          <w:rFonts w:ascii="Arial" w:hAnsi="Arial" w:cs="Arial"/>
          <w:sz w:val="20"/>
          <w:szCs w:val="20"/>
        </w:rPr>
        <w:t xml:space="preserve">possui dois tipos de usuário: </w:t>
      </w:r>
      <w:r w:rsidR="00175942">
        <w:rPr>
          <w:rFonts w:ascii="Arial" w:hAnsi="Arial" w:cs="Arial"/>
          <w:sz w:val="20"/>
          <w:szCs w:val="20"/>
        </w:rPr>
        <w:t xml:space="preserve">o </w:t>
      </w:r>
      <w:r w:rsidR="00467BC7" w:rsidRPr="00467BC7">
        <w:rPr>
          <w:rFonts w:ascii="Arial" w:hAnsi="Arial" w:cs="Arial"/>
          <w:sz w:val="20"/>
          <w:szCs w:val="20"/>
        </w:rPr>
        <w:t>tipo 01</w:t>
      </w:r>
      <w:r w:rsidR="00175942">
        <w:rPr>
          <w:rFonts w:ascii="Arial" w:hAnsi="Arial" w:cs="Arial"/>
          <w:sz w:val="20"/>
          <w:szCs w:val="20"/>
        </w:rPr>
        <w:t>,</w:t>
      </w:r>
      <w:r w:rsidR="00467BC7" w:rsidRPr="00467BC7">
        <w:rPr>
          <w:rFonts w:ascii="Arial" w:hAnsi="Arial" w:cs="Arial"/>
          <w:sz w:val="20"/>
          <w:szCs w:val="20"/>
        </w:rPr>
        <w:t xml:space="preserve"> relacionado ao acesso administrativo</w:t>
      </w:r>
      <w:r w:rsidR="00175942">
        <w:rPr>
          <w:rFonts w:ascii="Arial" w:hAnsi="Arial" w:cs="Arial"/>
          <w:sz w:val="20"/>
          <w:szCs w:val="20"/>
        </w:rPr>
        <w:t>;</w:t>
      </w:r>
      <w:r w:rsidR="00467BC7" w:rsidRPr="00467BC7">
        <w:rPr>
          <w:rFonts w:ascii="Arial" w:hAnsi="Arial" w:cs="Arial"/>
          <w:sz w:val="20"/>
          <w:szCs w:val="20"/>
        </w:rPr>
        <w:t xml:space="preserve"> e tipo 02</w:t>
      </w:r>
      <w:r w:rsidR="00175942">
        <w:rPr>
          <w:rFonts w:ascii="Arial" w:hAnsi="Arial" w:cs="Arial"/>
          <w:sz w:val="20"/>
          <w:szCs w:val="20"/>
        </w:rPr>
        <w:t>, com</w:t>
      </w:r>
      <w:r w:rsidR="00467BC7" w:rsidRPr="00467BC7">
        <w:rPr>
          <w:rFonts w:ascii="Arial" w:hAnsi="Arial" w:cs="Arial"/>
          <w:sz w:val="20"/>
          <w:szCs w:val="20"/>
        </w:rPr>
        <w:t xml:space="preserve"> acesso para responder as questões</w:t>
      </w:r>
      <w:r>
        <w:rPr>
          <w:rFonts w:ascii="Arial" w:hAnsi="Arial" w:cs="Arial"/>
          <w:sz w:val="20"/>
          <w:szCs w:val="20"/>
        </w:rPr>
        <w:t xml:space="preserve">, os quais podem ser acessados por meio do </w:t>
      </w:r>
      <w:r w:rsidR="00467BC7" w:rsidRPr="00467BC7">
        <w:rPr>
          <w:rFonts w:ascii="Arial" w:hAnsi="Arial" w:cs="Arial"/>
          <w:sz w:val="20"/>
          <w:szCs w:val="20"/>
        </w:rPr>
        <w:t xml:space="preserve">endereço eletrônico: </w:t>
      </w:r>
      <w:hyperlink r:id="rId8" w:history="1">
        <w:r w:rsidRPr="00C746E8">
          <w:rPr>
            <w:rStyle w:val="Hyperlink"/>
            <w:rFonts w:ascii="Arial" w:hAnsi="Arial" w:cs="Arial"/>
            <w:sz w:val="20"/>
            <w:szCs w:val="20"/>
          </w:rPr>
          <w:t>https://ssoh.com.br/sis/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>, mesmo sítio eletrônico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7BC7" w:rsidRPr="00467BC7">
        <w:rPr>
          <w:rFonts w:ascii="Arial" w:hAnsi="Arial" w:cs="Arial"/>
          <w:sz w:val="20"/>
          <w:szCs w:val="20"/>
        </w:rPr>
        <w:t>no qual o responsável realiza</w:t>
      </w:r>
      <w:r>
        <w:rPr>
          <w:rFonts w:ascii="Arial" w:hAnsi="Arial" w:cs="Arial"/>
          <w:sz w:val="20"/>
          <w:szCs w:val="20"/>
        </w:rPr>
        <w:t xml:space="preserve"> o</w:t>
      </w:r>
      <w:r w:rsidR="00467BC7" w:rsidRPr="00467BC7">
        <w:rPr>
          <w:rFonts w:ascii="Arial" w:hAnsi="Arial" w:cs="Arial"/>
          <w:sz w:val="20"/>
          <w:szCs w:val="20"/>
        </w:rPr>
        <w:t xml:space="preserve"> monitoramento das informações</w:t>
      </w:r>
      <w:r>
        <w:rPr>
          <w:rFonts w:ascii="Arial" w:hAnsi="Arial" w:cs="Arial"/>
          <w:sz w:val="20"/>
          <w:szCs w:val="20"/>
        </w:rPr>
        <w:t xml:space="preserve"> coletadas por meio da resposta aos formulários</w:t>
      </w:r>
      <w:r w:rsidR="00467BC7">
        <w:rPr>
          <w:rFonts w:ascii="Arial" w:hAnsi="Arial" w:cs="Arial"/>
          <w:sz w:val="20"/>
          <w:szCs w:val="20"/>
        </w:rPr>
        <w:t>.</w:t>
      </w:r>
    </w:p>
    <w:p w14:paraId="55D422BE" w14:textId="77777777" w:rsidR="00FA28A3" w:rsidRDefault="00FA28A3" w:rsidP="00BD679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2B027E" w14:textId="2C89F360" w:rsidR="006B5CA8" w:rsidRPr="00BD6796" w:rsidRDefault="00467BC7" w:rsidP="007F758D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BD6796">
        <w:rPr>
          <w:rFonts w:ascii="Arial" w:hAnsi="Arial" w:cs="Arial"/>
          <w:b/>
          <w:bCs/>
          <w:sz w:val="20"/>
          <w:szCs w:val="20"/>
        </w:rPr>
        <w:t>Figura 1 –</w:t>
      </w:r>
      <w:r w:rsidRPr="00BD6796">
        <w:rPr>
          <w:rFonts w:ascii="Arial" w:hAnsi="Arial" w:cs="Arial"/>
          <w:sz w:val="20"/>
          <w:szCs w:val="20"/>
        </w:rPr>
        <w:t xml:space="preserve"> Exibição da tela de acesso</w:t>
      </w:r>
      <w:r w:rsidRPr="00BD6796">
        <w:rPr>
          <w:rFonts w:ascii="Arial" w:hAnsi="Arial" w:cs="Arial"/>
          <w:i/>
          <w:iCs/>
          <w:sz w:val="20"/>
          <w:szCs w:val="20"/>
        </w:rPr>
        <w:t xml:space="preserve"> </w:t>
      </w:r>
      <w:r w:rsidRPr="00BD6796">
        <w:rPr>
          <w:rFonts w:ascii="Arial" w:hAnsi="Arial" w:cs="Arial"/>
          <w:sz w:val="20"/>
          <w:szCs w:val="20"/>
        </w:rPr>
        <w:t>da plataforma SSOH</w:t>
      </w:r>
    </w:p>
    <w:p w14:paraId="5A126A09" w14:textId="77777777" w:rsidR="00467BC7" w:rsidRDefault="00467BC7" w:rsidP="00BD6796">
      <w:pPr>
        <w:spacing w:line="36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65FA85FE" wp14:editId="7F1B3046">
            <wp:extent cx="5413562" cy="2710628"/>
            <wp:effectExtent l="12700" t="12700" r="9525" b="7620"/>
            <wp:docPr id="238467688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67688" name="Imagem 1" descr="Interface gráfica do usuário, Site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9" r="5001" b="14705"/>
                    <a:stretch/>
                  </pic:blipFill>
                  <pic:spPr bwMode="auto">
                    <a:xfrm>
                      <a:off x="0" y="0"/>
                      <a:ext cx="5439559" cy="27236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AB6C3" w14:textId="4195D7F0" w:rsidR="00467BC7" w:rsidRPr="00BD6796" w:rsidRDefault="00467BC7" w:rsidP="00467BC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D6796">
        <w:rPr>
          <w:rFonts w:ascii="Arial" w:hAnsi="Arial" w:cs="Arial"/>
          <w:b/>
          <w:bCs/>
          <w:sz w:val="20"/>
          <w:szCs w:val="20"/>
        </w:rPr>
        <w:t>Fonte</w:t>
      </w:r>
      <w:r w:rsidR="00BD6796">
        <w:rPr>
          <w:rFonts w:ascii="Arial" w:hAnsi="Arial" w:cs="Arial"/>
          <w:b/>
          <w:bCs/>
          <w:sz w:val="20"/>
          <w:szCs w:val="20"/>
        </w:rPr>
        <w:t xml:space="preserve">: </w:t>
      </w:r>
      <w:r w:rsidR="007F758D">
        <w:rPr>
          <w:rFonts w:ascii="Arial" w:hAnsi="Arial" w:cs="Arial"/>
          <w:sz w:val="20"/>
          <w:szCs w:val="20"/>
        </w:rPr>
        <w:t>dos autores,</w:t>
      </w:r>
      <w:r w:rsidR="00BD6796" w:rsidRPr="00BD6796">
        <w:rPr>
          <w:rFonts w:ascii="Arial" w:hAnsi="Arial" w:cs="Arial"/>
          <w:sz w:val="20"/>
          <w:szCs w:val="20"/>
        </w:rPr>
        <w:t xml:space="preserve"> 2025</w:t>
      </w:r>
    </w:p>
    <w:p w14:paraId="3AD38574" w14:textId="0847CA5F" w:rsidR="00467BC7" w:rsidRDefault="00BD6796" w:rsidP="00FA28A3">
      <w:pPr>
        <w:spacing w:before="24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Quant</w:t>
      </w:r>
      <w:r w:rsidR="004576CE">
        <w:rPr>
          <w:rFonts w:ascii="Arial" w:hAnsi="Arial" w:cs="Arial"/>
          <w:sz w:val="20"/>
          <w:szCs w:val="20"/>
        </w:rPr>
        <w:t xml:space="preserve">o </w:t>
      </w:r>
      <w:r w:rsidR="00175942">
        <w:rPr>
          <w:rFonts w:ascii="Arial" w:hAnsi="Arial" w:cs="Arial"/>
          <w:sz w:val="20"/>
          <w:szCs w:val="20"/>
        </w:rPr>
        <w:t>à</w:t>
      </w:r>
      <w:r w:rsidR="004576CE">
        <w:rPr>
          <w:rFonts w:ascii="Arial" w:hAnsi="Arial" w:cs="Arial"/>
          <w:sz w:val="20"/>
          <w:szCs w:val="20"/>
        </w:rPr>
        <w:t>s características de tecnologia da informação, o</w:t>
      </w:r>
      <w:r w:rsidR="00467BC7" w:rsidRPr="00467BC7">
        <w:rPr>
          <w:rFonts w:ascii="Arial" w:hAnsi="Arial" w:cs="Arial"/>
          <w:sz w:val="20"/>
          <w:szCs w:val="20"/>
        </w:rPr>
        <w:t xml:space="preserve"> sistema foi desenvolvido com as seguintes linguagens: </w:t>
      </w:r>
      <w:proofErr w:type="spellStart"/>
      <w:r w:rsidR="00467BC7" w:rsidRPr="004576CE">
        <w:rPr>
          <w:rFonts w:ascii="Arial" w:hAnsi="Arial" w:cs="Arial"/>
          <w:i/>
          <w:iCs/>
          <w:sz w:val="20"/>
          <w:szCs w:val="20"/>
        </w:rPr>
        <w:t>backend</w:t>
      </w:r>
      <w:proofErr w:type="spellEnd"/>
      <w:r w:rsidR="00467BC7" w:rsidRPr="004576CE">
        <w:rPr>
          <w:rFonts w:ascii="Arial" w:hAnsi="Arial" w:cs="Arial"/>
          <w:i/>
          <w:iCs/>
          <w:sz w:val="20"/>
          <w:szCs w:val="20"/>
        </w:rPr>
        <w:t xml:space="preserve">: PHP, </w:t>
      </w:r>
      <w:proofErr w:type="spellStart"/>
      <w:r w:rsidR="00467BC7" w:rsidRPr="004576CE">
        <w:rPr>
          <w:rFonts w:ascii="Arial" w:hAnsi="Arial" w:cs="Arial"/>
          <w:i/>
          <w:iCs/>
          <w:sz w:val="20"/>
          <w:szCs w:val="20"/>
        </w:rPr>
        <w:t>frontend</w:t>
      </w:r>
      <w:proofErr w:type="spellEnd"/>
      <w:r w:rsidR="00467BC7" w:rsidRPr="004576CE">
        <w:rPr>
          <w:rFonts w:ascii="Arial" w:hAnsi="Arial" w:cs="Arial"/>
          <w:i/>
          <w:iCs/>
          <w:sz w:val="20"/>
          <w:szCs w:val="20"/>
        </w:rPr>
        <w:t xml:space="preserve">: HTML5, </w:t>
      </w:r>
      <w:proofErr w:type="spellStart"/>
      <w:r w:rsidR="00467BC7" w:rsidRPr="004576CE">
        <w:rPr>
          <w:rFonts w:ascii="Arial" w:hAnsi="Arial" w:cs="Arial"/>
          <w:i/>
          <w:iCs/>
          <w:sz w:val="20"/>
          <w:szCs w:val="20"/>
        </w:rPr>
        <w:t>javascript</w:t>
      </w:r>
      <w:proofErr w:type="spellEnd"/>
      <w:r w:rsidR="00467BC7" w:rsidRPr="004576CE">
        <w:rPr>
          <w:rFonts w:ascii="Arial" w:hAnsi="Arial" w:cs="Arial"/>
          <w:i/>
          <w:iCs/>
          <w:sz w:val="20"/>
          <w:szCs w:val="20"/>
        </w:rPr>
        <w:t xml:space="preserve">, CSS3e Framework </w:t>
      </w:r>
      <w:proofErr w:type="spellStart"/>
      <w:r w:rsidR="00467BC7" w:rsidRPr="004576CE">
        <w:rPr>
          <w:rFonts w:ascii="Arial" w:hAnsi="Arial" w:cs="Arial"/>
          <w:i/>
          <w:iCs/>
          <w:sz w:val="20"/>
          <w:szCs w:val="20"/>
        </w:rPr>
        <w:t>Frontend</w:t>
      </w:r>
      <w:proofErr w:type="spellEnd"/>
      <w:r w:rsidR="00467BC7" w:rsidRPr="004576CE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="00467BC7" w:rsidRPr="004576CE">
        <w:rPr>
          <w:rFonts w:ascii="Arial" w:hAnsi="Arial" w:cs="Arial"/>
          <w:i/>
          <w:iCs/>
          <w:sz w:val="20"/>
          <w:szCs w:val="20"/>
        </w:rPr>
        <w:t>Bulma</w:t>
      </w:r>
      <w:proofErr w:type="spellEnd"/>
      <w:r w:rsidR="00467BC7" w:rsidRPr="00467BC7">
        <w:rPr>
          <w:rFonts w:ascii="Arial" w:hAnsi="Arial" w:cs="Arial"/>
          <w:sz w:val="20"/>
          <w:szCs w:val="20"/>
        </w:rPr>
        <w:t xml:space="preserve"> e para programar o banco de dados: </w:t>
      </w:r>
      <w:proofErr w:type="spellStart"/>
      <w:r w:rsidR="00467BC7" w:rsidRPr="004576CE">
        <w:rPr>
          <w:rFonts w:ascii="Arial" w:hAnsi="Arial" w:cs="Arial"/>
          <w:i/>
          <w:iCs/>
          <w:sz w:val="20"/>
          <w:szCs w:val="20"/>
        </w:rPr>
        <w:t>MySql</w:t>
      </w:r>
      <w:proofErr w:type="spellEnd"/>
      <w:r w:rsidR="00467BC7" w:rsidRPr="00467BC7">
        <w:rPr>
          <w:rFonts w:ascii="Arial" w:hAnsi="Arial" w:cs="Arial"/>
          <w:sz w:val="20"/>
          <w:szCs w:val="20"/>
        </w:rPr>
        <w:t xml:space="preserve"> (tabelas: </w:t>
      </w:r>
      <w:proofErr w:type="spellStart"/>
      <w:r w:rsidR="00467BC7" w:rsidRPr="00467BC7">
        <w:rPr>
          <w:rFonts w:ascii="Arial" w:hAnsi="Arial" w:cs="Arial"/>
          <w:sz w:val="20"/>
          <w:szCs w:val="20"/>
        </w:rPr>
        <w:t>cabecalho_formulario</w:t>
      </w:r>
      <w:proofErr w:type="spellEnd"/>
      <w:r w:rsidR="00467BC7" w:rsidRPr="00467BC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67BC7" w:rsidRPr="00467BC7">
        <w:rPr>
          <w:rFonts w:ascii="Arial" w:hAnsi="Arial" w:cs="Arial"/>
          <w:sz w:val="20"/>
          <w:szCs w:val="20"/>
        </w:rPr>
        <w:t>opcoes_questao</w:t>
      </w:r>
      <w:proofErr w:type="spellEnd"/>
      <w:r w:rsidR="00467BC7" w:rsidRPr="00467BC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67BC7" w:rsidRPr="00467BC7">
        <w:rPr>
          <w:rFonts w:ascii="Arial" w:hAnsi="Arial" w:cs="Arial"/>
          <w:sz w:val="20"/>
          <w:szCs w:val="20"/>
        </w:rPr>
        <w:t>questoes_formulario</w:t>
      </w:r>
      <w:proofErr w:type="spellEnd"/>
      <w:r w:rsidR="00467BC7" w:rsidRPr="00467BC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67BC7" w:rsidRPr="00467BC7">
        <w:rPr>
          <w:rFonts w:ascii="Arial" w:hAnsi="Arial" w:cs="Arial"/>
          <w:sz w:val="20"/>
          <w:szCs w:val="20"/>
        </w:rPr>
        <w:t>resposta_questoes</w:t>
      </w:r>
      <w:proofErr w:type="spellEnd"/>
      <w:r w:rsidR="00467BC7" w:rsidRPr="00467BC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67BC7" w:rsidRPr="00467BC7">
        <w:rPr>
          <w:rFonts w:ascii="Arial" w:hAnsi="Arial" w:cs="Arial"/>
          <w:sz w:val="20"/>
          <w:szCs w:val="20"/>
        </w:rPr>
        <w:t>usuarios</w:t>
      </w:r>
      <w:proofErr w:type="spellEnd"/>
      <w:r w:rsidR="00467BC7" w:rsidRPr="00467BC7">
        <w:rPr>
          <w:rFonts w:ascii="Arial" w:hAnsi="Arial" w:cs="Arial"/>
          <w:sz w:val="20"/>
          <w:szCs w:val="20"/>
        </w:rPr>
        <w:t xml:space="preserve">). </w:t>
      </w:r>
    </w:p>
    <w:p w14:paraId="5DD3FB43" w14:textId="4C6E15AE" w:rsidR="006B5CA8" w:rsidRPr="006B5CA8" w:rsidRDefault="006B5CA8" w:rsidP="006B5CA8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BC7">
        <w:rPr>
          <w:rFonts w:ascii="Arial" w:hAnsi="Arial" w:cs="Arial"/>
          <w:sz w:val="20"/>
          <w:szCs w:val="20"/>
        </w:rPr>
        <w:t>Quanto aos direitos</w:t>
      </w:r>
      <w:r>
        <w:rPr>
          <w:rFonts w:ascii="Arial" w:hAnsi="Arial" w:cs="Arial"/>
          <w:sz w:val="20"/>
          <w:szCs w:val="20"/>
        </w:rPr>
        <w:t xml:space="preserve"> autorais</w:t>
      </w:r>
      <w:r w:rsidRPr="00467BC7">
        <w:rPr>
          <w:rFonts w:ascii="Arial" w:hAnsi="Arial" w:cs="Arial"/>
          <w:sz w:val="20"/>
          <w:szCs w:val="20"/>
        </w:rPr>
        <w:t xml:space="preserve"> relacionados ao produto, foi solicitado em março de 2024 o registro da marca no Instituto Nacional de Propriedade Intelectual (INPI) protocolo número 29409172320066512 e depósito de patente no Núcleo de Inovação e 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 xml:space="preserve">Transferência de Tecnologia (NITT) no dia 04 de novembro de 2024. </w:t>
      </w:r>
      <w:r>
        <w:rPr>
          <w:rFonts w:ascii="Arial" w:hAnsi="Arial" w:cs="Arial"/>
          <w:color w:val="000000" w:themeColor="text1"/>
          <w:sz w:val="20"/>
          <w:szCs w:val="20"/>
        </w:rPr>
        <w:t>Obteve-se o registro do NITT em 04/02/2025.</w:t>
      </w:r>
    </w:p>
    <w:p w14:paraId="5FB389AE" w14:textId="7A9024C0" w:rsidR="00467BC7" w:rsidRDefault="004576CE" w:rsidP="00FA28A3">
      <w:pPr>
        <w:spacing w:before="24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interface do sistema é</w:t>
      </w:r>
      <w:r w:rsidR="00467BC7" w:rsidRPr="00467BC7">
        <w:rPr>
          <w:rFonts w:ascii="Arial" w:hAnsi="Arial" w:cs="Arial"/>
          <w:sz w:val="20"/>
          <w:szCs w:val="20"/>
        </w:rPr>
        <w:t xml:space="preserve"> composta por oito campos para registro de ocorrências, que são: direito de recusa do trabalho, análise preliminar de trabalho, inspeção de S</w:t>
      </w:r>
      <w:r w:rsidR="006B5CA8">
        <w:rPr>
          <w:rFonts w:ascii="Arial" w:hAnsi="Arial" w:cs="Arial"/>
          <w:sz w:val="20"/>
          <w:szCs w:val="20"/>
        </w:rPr>
        <w:t>istema de Gestão de Segurança e Saúde Ocupacional Hospitalar (S</w:t>
      </w:r>
      <w:r w:rsidR="00467BC7" w:rsidRPr="00467BC7">
        <w:rPr>
          <w:rFonts w:ascii="Arial" w:hAnsi="Arial" w:cs="Arial"/>
          <w:sz w:val="20"/>
          <w:szCs w:val="20"/>
        </w:rPr>
        <w:t>SOH</w:t>
      </w:r>
      <w:r w:rsidR="006B5CA8">
        <w:rPr>
          <w:rFonts w:ascii="Arial" w:hAnsi="Arial" w:cs="Arial"/>
          <w:sz w:val="20"/>
          <w:szCs w:val="20"/>
        </w:rPr>
        <w:t>)</w:t>
      </w:r>
      <w:r w:rsidR="00467BC7" w:rsidRPr="00467BC7">
        <w:rPr>
          <w:rFonts w:ascii="Arial" w:hAnsi="Arial" w:cs="Arial"/>
          <w:sz w:val="20"/>
          <w:szCs w:val="20"/>
        </w:rPr>
        <w:t>, termo de interdição notificação, ASO (padronização de exames</w:t>
      </w:r>
      <w:r w:rsidR="006B5CA8">
        <w:rPr>
          <w:rFonts w:ascii="Arial" w:hAnsi="Arial" w:cs="Arial"/>
          <w:sz w:val="20"/>
          <w:szCs w:val="20"/>
        </w:rPr>
        <w:t xml:space="preserve"> médicos</w:t>
      </w:r>
      <w:r w:rsidR="00467BC7" w:rsidRPr="00467BC7">
        <w:rPr>
          <w:rFonts w:ascii="Arial" w:hAnsi="Arial" w:cs="Arial"/>
          <w:sz w:val="20"/>
          <w:szCs w:val="20"/>
        </w:rPr>
        <w:t>), Registro de ocorrência</w:t>
      </w:r>
      <w:r w:rsidR="006B5CA8">
        <w:rPr>
          <w:rFonts w:ascii="Arial" w:hAnsi="Arial" w:cs="Arial"/>
          <w:sz w:val="20"/>
          <w:szCs w:val="20"/>
        </w:rPr>
        <w:t xml:space="preserve"> de segurança</w:t>
      </w:r>
      <w:r w:rsidR="00467BC7" w:rsidRPr="00467BC7">
        <w:rPr>
          <w:rFonts w:ascii="Arial" w:hAnsi="Arial" w:cs="Arial"/>
          <w:sz w:val="20"/>
          <w:szCs w:val="20"/>
        </w:rPr>
        <w:t>, participação em DSS</w:t>
      </w:r>
      <w:r w:rsidR="006B5CA8">
        <w:rPr>
          <w:rFonts w:ascii="Arial" w:hAnsi="Arial" w:cs="Arial"/>
          <w:sz w:val="20"/>
          <w:szCs w:val="20"/>
        </w:rPr>
        <w:t xml:space="preserve"> (Diálogo de segurança e saúde </w:t>
      </w:r>
      <w:proofErr w:type="gramStart"/>
      <w:r w:rsidR="006B5CA8">
        <w:rPr>
          <w:rFonts w:ascii="Arial" w:hAnsi="Arial" w:cs="Arial"/>
          <w:sz w:val="20"/>
          <w:szCs w:val="20"/>
        </w:rPr>
        <w:t xml:space="preserve">ocupacional </w:t>
      </w:r>
      <w:r w:rsidR="00467BC7" w:rsidRPr="00467BC7">
        <w:rPr>
          <w:rFonts w:ascii="Arial" w:hAnsi="Arial" w:cs="Arial"/>
          <w:sz w:val="20"/>
          <w:szCs w:val="20"/>
        </w:rPr>
        <w:t xml:space="preserve"> e</w:t>
      </w:r>
      <w:proofErr w:type="gramEnd"/>
      <w:r w:rsidR="00467BC7" w:rsidRPr="00467BC7">
        <w:rPr>
          <w:rFonts w:ascii="Arial" w:hAnsi="Arial" w:cs="Arial"/>
          <w:sz w:val="20"/>
          <w:szCs w:val="20"/>
        </w:rPr>
        <w:t xml:space="preserve"> investigação de análise de </w:t>
      </w:r>
      <w:r w:rsidR="006B5CA8">
        <w:rPr>
          <w:rFonts w:ascii="Arial" w:hAnsi="Arial" w:cs="Arial"/>
          <w:sz w:val="20"/>
          <w:szCs w:val="20"/>
        </w:rPr>
        <w:t>acidentes</w:t>
      </w:r>
      <w:r w:rsidR="00467BC7" w:rsidRPr="00467BC7">
        <w:rPr>
          <w:rFonts w:ascii="Arial" w:hAnsi="Arial" w:cs="Arial"/>
          <w:sz w:val="20"/>
          <w:szCs w:val="20"/>
        </w:rPr>
        <w:t xml:space="preserve">. Além disso, </w:t>
      </w:r>
      <w:r>
        <w:rPr>
          <w:rFonts w:ascii="Arial" w:hAnsi="Arial" w:cs="Arial"/>
          <w:sz w:val="20"/>
          <w:szCs w:val="20"/>
        </w:rPr>
        <w:t xml:space="preserve">também </w:t>
      </w:r>
      <w:r w:rsidR="00467BC7" w:rsidRPr="00467BC7">
        <w:rPr>
          <w:rFonts w:ascii="Arial" w:hAnsi="Arial" w:cs="Arial"/>
          <w:sz w:val="20"/>
          <w:szCs w:val="20"/>
        </w:rPr>
        <w:t>apresenta vídeo demonstrativo de como alimentar a plataforma e gera</w:t>
      </w:r>
      <w:r w:rsidR="00175942">
        <w:rPr>
          <w:rFonts w:ascii="Arial" w:hAnsi="Arial" w:cs="Arial"/>
          <w:sz w:val="20"/>
          <w:szCs w:val="20"/>
        </w:rPr>
        <w:t>r</w:t>
      </w:r>
      <w:r w:rsidR="00467BC7" w:rsidRPr="00467BC7">
        <w:rPr>
          <w:rFonts w:ascii="Arial" w:hAnsi="Arial" w:cs="Arial"/>
          <w:sz w:val="20"/>
          <w:szCs w:val="20"/>
        </w:rPr>
        <w:t xml:space="preserve"> de relatórios para monitorar os registros</w:t>
      </w:r>
      <w:r>
        <w:rPr>
          <w:rFonts w:ascii="Arial" w:hAnsi="Arial" w:cs="Arial"/>
          <w:sz w:val="20"/>
          <w:szCs w:val="20"/>
        </w:rPr>
        <w:t>. Senão vejamos:</w:t>
      </w:r>
    </w:p>
    <w:p w14:paraId="43A800C2" w14:textId="77777777" w:rsidR="007F758D" w:rsidRPr="00467BC7" w:rsidRDefault="007F758D" w:rsidP="007F758D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1B72E72E" w14:textId="659746E4" w:rsidR="004576CE" w:rsidRDefault="007F758D" w:rsidP="007F758D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7BC7">
        <w:rPr>
          <w:rFonts w:ascii="Arial" w:hAnsi="Arial" w:cs="Arial"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D63425F" wp14:editId="65312D49">
            <wp:simplePos x="0" y="0"/>
            <wp:positionH relativeFrom="column">
              <wp:posOffset>302260</wp:posOffset>
            </wp:positionH>
            <wp:positionV relativeFrom="paragraph">
              <wp:posOffset>228898</wp:posOffset>
            </wp:positionV>
            <wp:extent cx="5162550" cy="3175635"/>
            <wp:effectExtent l="19050" t="19050" r="19050" b="24765"/>
            <wp:wrapSquare wrapText="bothSides"/>
            <wp:docPr id="347419768" name="Imagem 2" descr="Interface gráfica do usuário, Aplicativ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19768" name="Imagem 2" descr="Interface gráfica do usuário, Aplicativo, Site&#10;&#10;Descrição gerada automa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" t="10601" r="1924"/>
                    <a:stretch/>
                  </pic:blipFill>
                  <pic:spPr bwMode="auto">
                    <a:xfrm>
                      <a:off x="0" y="0"/>
                      <a:ext cx="5162550" cy="3175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BC7" w:rsidRPr="00467BC7">
        <w:rPr>
          <w:rFonts w:ascii="Arial" w:hAnsi="Arial" w:cs="Arial"/>
          <w:b/>
          <w:bCs/>
          <w:sz w:val="20"/>
          <w:szCs w:val="20"/>
        </w:rPr>
        <w:t xml:space="preserve">Figura 2 - </w:t>
      </w:r>
      <w:r w:rsidR="00467BC7" w:rsidRPr="00467BC7">
        <w:rPr>
          <w:rFonts w:ascii="Arial" w:hAnsi="Arial" w:cs="Arial"/>
          <w:sz w:val="20"/>
          <w:szCs w:val="20"/>
        </w:rPr>
        <w:t>Exibição da tela inicial da plataforma SSOH</w:t>
      </w:r>
    </w:p>
    <w:p w14:paraId="13DDE19D" w14:textId="04E8E953" w:rsidR="004576CE" w:rsidRDefault="004576CE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7A1FC8" w14:textId="77777777" w:rsidR="004576CE" w:rsidRDefault="004576CE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07FDF" w14:textId="77777777" w:rsidR="004576CE" w:rsidRDefault="004576CE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2092CD" w14:textId="77777777" w:rsidR="004576CE" w:rsidRDefault="004576CE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B58F8A" w14:textId="77777777" w:rsidR="004576CE" w:rsidRDefault="004576CE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2B6CE4" w14:textId="77777777" w:rsidR="004576CE" w:rsidRDefault="004576CE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EB5D1" w14:textId="77777777" w:rsidR="004576CE" w:rsidRDefault="004576CE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1E11B3" w14:textId="77777777" w:rsidR="00FA28A3" w:rsidRDefault="00FA28A3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750FB3" w14:textId="77777777" w:rsidR="00FA28A3" w:rsidRDefault="00FA28A3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A5A69" w14:textId="77777777" w:rsidR="00FA28A3" w:rsidRDefault="00FA28A3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D42B65" w14:textId="77777777" w:rsidR="00FA28A3" w:rsidRDefault="00FA28A3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07D409" w14:textId="77777777" w:rsidR="00FA28A3" w:rsidRDefault="00FA28A3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BF0D71" w14:textId="77777777" w:rsidR="00FA28A3" w:rsidRDefault="00FA28A3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5D75FC" w14:textId="77777777" w:rsidR="00845C33" w:rsidRDefault="00845C33" w:rsidP="004576C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8C3A54" w14:textId="77777777" w:rsidR="006B5CA8" w:rsidRDefault="006B5CA8" w:rsidP="007F758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5CDA5B0" w14:textId="34B1A91E" w:rsidR="007F758D" w:rsidRPr="007F758D" w:rsidRDefault="004576CE" w:rsidP="007F758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D6796">
        <w:rPr>
          <w:rFonts w:ascii="Arial" w:hAnsi="Arial" w:cs="Arial"/>
          <w:b/>
          <w:bCs/>
          <w:sz w:val="20"/>
          <w:szCs w:val="20"/>
        </w:rPr>
        <w:t>Fonte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7F758D">
        <w:rPr>
          <w:rFonts w:ascii="Arial" w:hAnsi="Arial" w:cs="Arial"/>
          <w:sz w:val="20"/>
          <w:szCs w:val="20"/>
        </w:rPr>
        <w:t xml:space="preserve">dos </w:t>
      </w:r>
      <w:proofErr w:type="gramStart"/>
      <w:r w:rsidR="007F758D">
        <w:rPr>
          <w:rFonts w:ascii="Arial" w:hAnsi="Arial" w:cs="Arial"/>
          <w:sz w:val="20"/>
          <w:szCs w:val="20"/>
        </w:rPr>
        <w:t xml:space="preserve">autores, </w:t>
      </w:r>
      <w:r w:rsidRPr="00BD6796">
        <w:rPr>
          <w:rFonts w:ascii="Arial" w:hAnsi="Arial" w:cs="Arial"/>
          <w:sz w:val="20"/>
          <w:szCs w:val="20"/>
        </w:rPr>
        <w:t xml:space="preserve"> 2025</w:t>
      </w:r>
      <w:proofErr w:type="gramEnd"/>
    </w:p>
    <w:p w14:paraId="42A42418" w14:textId="62DB84C0" w:rsidR="007F758D" w:rsidRDefault="007F758D" w:rsidP="00FA28A3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Em cada campo de registro, um documento estava atrelado, para preenchimento pelo profissional da saúde. </w:t>
      </w:r>
    </w:p>
    <w:p w14:paraId="01BDB5F7" w14:textId="7BA05404" w:rsidR="00467BC7" w:rsidRPr="00467BC7" w:rsidRDefault="004576CE" w:rsidP="00FA28A3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Em relação à utilização da plataforma, sua 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>implantação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iniciou em janeiro de 2023</w:t>
      </w:r>
      <w:r>
        <w:rPr>
          <w:rFonts w:ascii="Arial" w:hAnsi="Arial" w:cs="Arial"/>
          <w:color w:val="000000" w:themeColor="text1"/>
          <w:sz w:val="20"/>
          <w:szCs w:val="20"/>
        </w:rPr>
        <w:t>, transcorrendo aproximadamente um ano até a data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>a oficina de treinamento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 qual 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>ocorreu em dois módulos durante o ano de 2024, sendo o módulo I: processo de admissão</w:t>
      </w:r>
      <w:r w:rsidR="007F758D">
        <w:rPr>
          <w:rFonts w:ascii="Arial" w:hAnsi="Arial" w:cs="Arial"/>
          <w:color w:val="000000" w:themeColor="text1"/>
          <w:sz w:val="20"/>
          <w:szCs w:val="20"/>
        </w:rPr>
        <w:t>;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e o módulo II: periódicos.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Essa etapa foi necessária para que os “juízes especialistas” conhecessem a plataforma, seus objetivos e modo de funcionamento. </w:t>
      </w:r>
      <w:r w:rsidR="007F758D">
        <w:rPr>
          <w:rFonts w:ascii="Arial" w:hAnsi="Arial" w:cs="Arial"/>
          <w:color w:val="000000" w:themeColor="text1"/>
          <w:sz w:val="20"/>
          <w:szCs w:val="20"/>
        </w:rPr>
        <w:t xml:space="preserve">Para cada registro também foi elaborado um documento com os principais conceitos referentes, a adequação às normas vigentes e o objetivo de cada registro. Destaca-se a importância desses documentos, uma vez que serviram de arcabouço teórico para as oficinas de treinamento. </w:t>
      </w:r>
    </w:p>
    <w:p w14:paraId="5917BA4B" w14:textId="2B758678" w:rsidR="00467BC7" w:rsidRPr="00467BC7" w:rsidRDefault="00467BC7" w:rsidP="00FA28A3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BC7">
        <w:rPr>
          <w:rFonts w:ascii="Arial" w:hAnsi="Arial" w:cs="Arial"/>
          <w:color w:val="000000" w:themeColor="text1"/>
          <w:sz w:val="20"/>
          <w:szCs w:val="20"/>
        </w:rPr>
        <w:lastRenderedPageBreak/>
        <w:t>A</w:t>
      </w:r>
      <w:r w:rsidR="004576CE">
        <w:rPr>
          <w:rFonts w:ascii="Arial" w:hAnsi="Arial" w:cs="Arial"/>
          <w:color w:val="000000" w:themeColor="text1"/>
          <w:sz w:val="20"/>
          <w:szCs w:val="20"/>
        </w:rPr>
        <w:t xml:space="preserve">pós essa etapa, ocorreu a </w:t>
      </w:r>
      <w:r w:rsidR="004576CE" w:rsidRPr="00467BC7">
        <w:rPr>
          <w:rFonts w:ascii="Arial" w:hAnsi="Arial" w:cs="Arial"/>
          <w:color w:val="000000" w:themeColor="text1"/>
          <w:sz w:val="20"/>
          <w:szCs w:val="20"/>
        </w:rPr>
        <w:t>validação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 xml:space="preserve"> realizada por 11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(onze)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 xml:space="preserve"> profissionais da saúde, considerados juízes especialistas, subdivid</w:t>
      </w:r>
      <w:r w:rsidR="007F758D">
        <w:rPr>
          <w:rFonts w:ascii="Arial" w:hAnsi="Arial" w:cs="Arial"/>
          <w:color w:val="000000" w:themeColor="text1"/>
          <w:sz w:val="20"/>
          <w:szCs w:val="20"/>
        </w:rPr>
        <w:t>id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nos seguintes grupos: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 xml:space="preserve"> um engenheiro de segurança do trabalho, um médico do trabalho, quatro fisioterapeutas, dois enfermeiros do trabalho, dois psicólogos, dois assistentes sociais e um técnico de segurança do trabalho. </w:t>
      </w:r>
    </w:p>
    <w:p w14:paraId="3E88E348" w14:textId="77777777" w:rsidR="006B5CA8" w:rsidRDefault="004576CE" w:rsidP="006B5CA8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Mais precisamente, a</w:t>
      </w:r>
      <w:r w:rsidR="00467BC7">
        <w:rPr>
          <w:rFonts w:ascii="Arial" w:hAnsi="Arial" w:cs="Arial"/>
          <w:color w:val="000000" w:themeColor="text1"/>
          <w:sz w:val="20"/>
          <w:szCs w:val="20"/>
        </w:rPr>
        <w:t xml:space="preserve"> coleta 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467BC7">
        <w:rPr>
          <w:rFonts w:ascii="Arial" w:hAnsi="Arial" w:cs="Arial"/>
          <w:color w:val="000000" w:themeColor="text1"/>
          <w:sz w:val="20"/>
          <w:szCs w:val="20"/>
        </w:rPr>
        <w:t xml:space="preserve">dados </w:t>
      </w:r>
      <w:r>
        <w:rPr>
          <w:rFonts w:ascii="Arial" w:hAnsi="Arial" w:cs="Arial"/>
          <w:color w:val="000000" w:themeColor="text1"/>
          <w:sz w:val="20"/>
          <w:szCs w:val="20"/>
        </w:rPr>
        <w:t>ocorreu por</w:t>
      </w:r>
      <w:r w:rsidR="00467BC7">
        <w:rPr>
          <w:rFonts w:ascii="Arial" w:hAnsi="Arial" w:cs="Arial"/>
          <w:color w:val="000000" w:themeColor="text1"/>
          <w:sz w:val="20"/>
          <w:szCs w:val="20"/>
        </w:rPr>
        <w:t xml:space="preserve"> meio de um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questionário dividido em duas partes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i) 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>a primeira para caracterizar os participantes da pesquisa e 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Pr="00467BC7">
        <w:rPr>
          <w:rFonts w:ascii="Arial" w:hAnsi="Arial" w:cs="Arial"/>
          <w:color w:val="000000" w:themeColor="text1"/>
          <w:sz w:val="20"/>
          <w:szCs w:val="20"/>
        </w:rPr>
        <w:t>segunda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em formato </w:t>
      </w:r>
      <w:r w:rsidR="00467BC7" w:rsidRPr="004576CE">
        <w:rPr>
          <w:rFonts w:ascii="Arial" w:hAnsi="Arial" w:cs="Arial"/>
          <w:i/>
          <w:iCs/>
          <w:color w:val="000000" w:themeColor="text1"/>
          <w:sz w:val="20"/>
          <w:szCs w:val="20"/>
        </w:rPr>
        <w:t>Likert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de cinco pontos para avaliar a plataforma quanto</w:t>
      </w:r>
      <w:r w:rsidR="00FA28A3">
        <w:rPr>
          <w:rFonts w:ascii="Arial" w:hAnsi="Arial" w:cs="Arial"/>
          <w:color w:val="000000" w:themeColor="text1"/>
          <w:sz w:val="20"/>
          <w:szCs w:val="20"/>
        </w:rPr>
        <w:t xml:space="preserve"> aos critérios de</w:t>
      </w:r>
      <w:r w:rsidR="00467BC7" w:rsidRPr="00467BC7">
        <w:rPr>
          <w:rFonts w:ascii="Arial" w:hAnsi="Arial" w:cs="Arial"/>
          <w:color w:val="000000" w:themeColor="text1"/>
          <w:sz w:val="20"/>
          <w:szCs w:val="20"/>
        </w:rPr>
        <w:t xml:space="preserve"> adequação, operacionalidade, clareza das informações, disponibilidade, interface, instalação, funcionalidade geral, comodidade, acessibilidade e praticidade.</w:t>
      </w:r>
    </w:p>
    <w:p w14:paraId="627BF2F2" w14:textId="06FE1A0A" w:rsidR="006B5CA8" w:rsidRDefault="007F758D" w:rsidP="006B5CA8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>uscou</w:t>
      </w:r>
      <w:r>
        <w:rPr>
          <w:rFonts w:ascii="Arial" w:hAnsi="Arial" w:cs="Arial"/>
          <w:color w:val="000000" w:themeColor="text1"/>
          <w:sz w:val="20"/>
          <w:szCs w:val="20"/>
        </w:rPr>
        <w:t>-se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 xml:space="preserve"> avaliar os critérios de interface (se ela contém aspectos que facilitem a compreensão do conteúdo; disponibilidade (se ela pode ser usada por todos os coordenadores); operacionalidade (se a plataforma é de fácil utilização pelos funcionários da empresa); adequação (se a plataforma é de fácil </w:t>
      </w:r>
      <w:r>
        <w:rPr>
          <w:rFonts w:ascii="Arial" w:hAnsi="Arial" w:cs="Arial"/>
          <w:color w:val="000000" w:themeColor="text1"/>
          <w:sz w:val="20"/>
          <w:szCs w:val="20"/>
        </w:rPr>
        <w:t>compressão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 xml:space="preserve"> e execução de tarefas); funcionalidade geral (se a plataforma tem ampla abrangência do que se propõe); e instalação (se a plataforma é de fácil </w:t>
      </w:r>
      <w:r>
        <w:rPr>
          <w:rFonts w:ascii="Arial" w:hAnsi="Arial" w:cs="Arial"/>
          <w:color w:val="000000" w:themeColor="text1"/>
          <w:sz w:val="20"/>
          <w:szCs w:val="20"/>
        </w:rPr>
        <w:t>instalação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Pr="007F758D">
        <w:rPr>
          <w:rFonts w:ascii="Arial" w:hAnsi="Arial" w:cs="Arial"/>
          <w:b/>
          <w:bCs/>
          <w:color w:val="000000" w:themeColor="text1"/>
          <w:sz w:val="20"/>
          <w:szCs w:val="20"/>
        </w:rPr>
        <w:t>Figura 3)</w:t>
      </w:r>
      <w:r w:rsidR="006B5CA8" w:rsidRPr="007F758D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3C61030" w14:textId="2B61823E" w:rsidR="006B5CA8" w:rsidRDefault="007F758D" w:rsidP="006B5CA8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Buscou-se 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 xml:space="preserve">averiguar se a plataforma </w:t>
      </w:r>
      <w:r>
        <w:rPr>
          <w:rFonts w:ascii="Arial" w:hAnsi="Arial" w:cs="Arial"/>
          <w:color w:val="000000" w:themeColor="text1"/>
          <w:sz w:val="20"/>
          <w:szCs w:val="20"/>
        </w:rPr>
        <w:t>possuía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 xml:space="preserve"> clareza de informações e é objetiva; se ela é prática; se ela fornece informações necessárias sobre a segurança da saúde do centro cirúrgico; e se ela pode ser acessada a qualquer lugar e hora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758D">
        <w:rPr>
          <w:rFonts w:ascii="Arial" w:hAnsi="Arial" w:cs="Arial"/>
          <w:b/>
          <w:bCs/>
          <w:color w:val="000000" w:themeColor="text1"/>
          <w:sz w:val="20"/>
          <w:szCs w:val="20"/>
        </w:rPr>
        <w:t>(Figura 4)</w:t>
      </w:r>
      <w:r w:rsidR="006B5CA8" w:rsidRPr="007F758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</w:p>
    <w:p w14:paraId="5515B73B" w14:textId="0331593D" w:rsidR="006B5CA8" w:rsidRDefault="006B5CA8" w:rsidP="006B5CA8">
      <w:pPr>
        <w:spacing w:before="24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Por fim, </w:t>
      </w:r>
      <w:r w:rsidR="007F758D">
        <w:rPr>
          <w:rFonts w:ascii="Arial" w:hAnsi="Arial" w:cs="Arial"/>
          <w:color w:val="000000" w:themeColor="text1"/>
          <w:sz w:val="20"/>
          <w:szCs w:val="20"/>
        </w:rPr>
        <w:t xml:space="preserve">avaliou-se </w:t>
      </w:r>
      <w:proofErr w:type="spellStart"/>
      <w:r w:rsidR="007F758D">
        <w:rPr>
          <w:rFonts w:ascii="Arial" w:hAnsi="Arial" w:cs="Arial"/>
          <w:color w:val="000000" w:themeColor="text1"/>
          <w:sz w:val="20"/>
          <w:szCs w:val="20"/>
        </w:rPr>
        <w:t>também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utilidade e a funcionalidade geral do produto. </w:t>
      </w:r>
      <w:proofErr w:type="gramStart"/>
      <w:r w:rsidRPr="00467BC7">
        <w:rPr>
          <w:rFonts w:ascii="Arial" w:hAnsi="Arial" w:cs="Arial"/>
          <w:color w:val="000000" w:themeColor="text1"/>
          <w:sz w:val="20"/>
          <w:szCs w:val="20"/>
        </w:rPr>
        <w:t>análise</w:t>
      </w:r>
      <w:proofErr w:type="gramEnd"/>
      <w:r w:rsidRPr="00467BC7">
        <w:rPr>
          <w:rFonts w:ascii="Arial" w:hAnsi="Arial" w:cs="Arial"/>
          <w:color w:val="000000" w:themeColor="text1"/>
          <w:sz w:val="20"/>
          <w:szCs w:val="20"/>
        </w:rPr>
        <w:t xml:space="preserve"> estatística foi realizada através do Coeficiente </w:t>
      </w:r>
      <w:r w:rsidRPr="00467BC7">
        <w:rPr>
          <w:rFonts w:ascii="Arial" w:hAnsi="Arial" w:cs="Arial"/>
          <w:sz w:val="20"/>
          <w:szCs w:val="20"/>
        </w:rPr>
        <w:t>Alfa de Cronbach com resultado de 0,846, o que indica que a maioria dos juízes concordaram com os itens avaliados</w:t>
      </w:r>
      <w:r>
        <w:rPr>
          <w:rFonts w:ascii="Arial" w:hAnsi="Arial" w:cs="Arial"/>
          <w:sz w:val="20"/>
          <w:szCs w:val="20"/>
        </w:rPr>
        <w:t xml:space="preserve"> e obtiveram os seguintes resultados combinados: 98,5% de satisfação em relação à funcionalidade, 97,1% em relação à utilidade e 97,9% de modo geral, o que demonstra um alto índice de aprovação da plataforma, com base em um critério de alta confiabilidade</w:t>
      </w:r>
      <w:r w:rsidR="007F758D">
        <w:rPr>
          <w:rFonts w:ascii="Arial" w:hAnsi="Arial" w:cs="Arial"/>
          <w:sz w:val="20"/>
          <w:szCs w:val="20"/>
        </w:rPr>
        <w:t xml:space="preserve"> </w:t>
      </w:r>
      <w:r w:rsidR="007F758D" w:rsidRPr="007F758D">
        <w:rPr>
          <w:rFonts w:ascii="Arial" w:hAnsi="Arial" w:cs="Arial"/>
          <w:b/>
          <w:bCs/>
          <w:sz w:val="20"/>
          <w:szCs w:val="20"/>
        </w:rPr>
        <w:t>(Figura 5).</w:t>
      </w:r>
      <w:r w:rsidRPr="007F758D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EBAE292" w14:textId="77777777" w:rsidR="006B5CA8" w:rsidRDefault="006B5CA8" w:rsidP="006B5CA8">
      <w:pPr>
        <w:spacing w:before="24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53333B" w14:textId="7A37CF13" w:rsidR="006B5CA8" w:rsidRPr="006B5CA8" w:rsidRDefault="00FA28A3" w:rsidP="007F758D">
      <w:pPr>
        <w:spacing w:after="120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A28A3">
        <w:rPr>
          <w:rFonts w:ascii="Arial" w:hAnsi="Arial" w:cs="Arial"/>
          <w:b/>
          <w:bCs/>
          <w:color w:val="000000" w:themeColor="text1"/>
          <w:sz w:val="20"/>
          <w:szCs w:val="20"/>
        </w:rPr>
        <w:t>Figura 3</w:t>
      </w:r>
      <w:r w:rsidRPr="00FA28A3">
        <w:rPr>
          <w:rFonts w:ascii="Arial" w:hAnsi="Arial" w:cs="Arial"/>
          <w:color w:val="000000" w:themeColor="text1"/>
          <w:sz w:val="20"/>
          <w:szCs w:val="20"/>
        </w:rPr>
        <w:t xml:space="preserve"> – Avaliação d</w:t>
      </w:r>
      <w:r w:rsidR="007F758D">
        <w:rPr>
          <w:rFonts w:ascii="Arial" w:hAnsi="Arial" w:cs="Arial"/>
          <w:color w:val="000000" w:themeColor="text1"/>
          <w:sz w:val="20"/>
          <w:szCs w:val="20"/>
        </w:rPr>
        <w:t>os primeiros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 xml:space="preserve"> critérios avaliativos da </w:t>
      </w:r>
      <w:r w:rsidR="007F758D">
        <w:rPr>
          <w:rFonts w:ascii="Arial" w:hAnsi="Arial" w:cs="Arial"/>
          <w:color w:val="000000" w:themeColor="text1"/>
          <w:sz w:val="20"/>
          <w:szCs w:val="20"/>
        </w:rPr>
        <w:t>P</w:t>
      </w:r>
      <w:r w:rsidR="006B5CA8">
        <w:rPr>
          <w:rFonts w:ascii="Arial" w:hAnsi="Arial" w:cs="Arial"/>
          <w:color w:val="000000" w:themeColor="text1"/>
          <w:sz w:val="20"/>
          <w:szCs w:val="20"/>
        </w:rPr>
        <w:t>lataforma</w:t>
      </w:r>
    </w:p>
    <w:p w14:paraId="1C3139BC" w14:textId="79AA8086" w:rsidR="00175942" w:rsidRDefault="006B5CA8" w:rsidP="007F758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C7CFF93" wp14:editId="23A6E912">
            <wp:extent cx="5168509" cy="3671724"/>
            <wp:effectExtent l="0" t="0" r="635" b="0"/>
            <wp:docPr id="209032795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27953" name="Imagem 209032795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3" r="2712" b="2946"/>
                    <a:stretch/>
                  </pic:blipFill>
                  <pic:spPr bwMode="auto">
                    <a:xfrm>
                      <a:off x="0" y="0"/>
                      <a:ext cx="5260448" cy="3737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49059" w14:textId="0B56ACEC" w:rsidR="007F758D" w:rsidRDefault="007F758D" w:rsidP="007F75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dos autores</w:t>
      </w:r>
      <w:r w:rsidRPr="00BD6796">
        <w:rPr>
          <w:rFonts w:ascii="Arial" w:hAnsi="Arial" w:cs="Arial"/>
          <w:sz w:val="20"/>
          <w:szCs w:val="20"/>
        </w:rPr>
        <w:t>, 2025</w:t>
      </w:r>
    </w:p>
    <w:p w14:paraId="6D42680C" w14:textId="77777777" w:rsidR="007F758D" w:rsidRDefault="007F758D" w:rsidP="007F758D">
      <w:pPr>
        <w:spacing w:line="276" w:lineRule="auto"/>
        <w:rPr>
          <w:rFonts w:ascii="Arial" w:hAnsi="Arial" w:cs="Arial"/>
          <w:sz w:val="20"/>
          <w:szCs w:val="20"/>
        </w:rPr>
      </w:pPr>
    </w:p>
    <w:p w14:paraId="5FB0ECE0" w14:textId="77777777" w:rsidR="007F758D" w:rsidRDefault="007F758D" w:rsidP="007F758D">
      <w:pPr>
        <w:spacing w:line="276" w:lineRule="auto"/>
        <w:rPr>
          <w:rFonts w:ascii="Arial" w:hAnsi="Arial" w:cs="Arial"/>
          <w:sz w:val="20"/>
          <w:szCs w:val="20"/>
        </w:rPr>
      </w:pPr>
    </w:p>
    <w:p w14:paraId="32A8BE46" w14:textId="64BD27F7" w:rsidR="007F758D" w:rsidRDefault="007F758D" w:rsidP="007F758D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F758D">
        <w:rPr>
          <w:rFonts w:ascii="Arial" w:hAnsi="Arial" w:cs="Arial"/>
          <w:b/>
          <w:bCs/>
          <w:sz w:val="20"/>
          <w:szCs w:val="20"/>
        </w:rPr>
        <w:t>Figura 4:</w:t>
      </w:r>
      <w:r>
        <w:rPr>
          <w:rFonts w:ascii="Arial" w:hAnsi="Arial" w:cs="Arial"/>
          <w:sz w:val="20"/>
          <w:szCs w:val="20"/>
        </w:rPr>
        <w:t xml:space="preserve"> Avaliação dos segundos critérios da Plataforma</w:t>
      </w:r>
    </w:p>
    <w:p w14:paraId="5ABFE20F" w14:textId="77777777" w:rsidR="006B5CA8" w:rsidRDefault="006B5CA8" w:rsidP="007F758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15FCCD0" wp14:editId="32AA04D2">
            <wp:extent cx="4818193" cy="3388659"/>
            <wp:effectExtent l="0" t="0" r="0" b="2540"/>
            <wp:docPr id="115232348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23483" name="Imagem 115232348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" t="2794" r="2166" b="2478"/>
                    <a:stretch/>
                  </pic:blipFill>
                  <pic:spPr bwMode="auto">
                    <a:xfrm>
                      <a:off x="0" y="0"/>
                      <a:ext cx="4902108" cy="3447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1614B" w14:textId="7A5DD081" w:rsidR="007F758D" w:rsidRDefault="007F758D" w:rsidP="007F758D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Fonte</w:t>
      </w:r>
      <w:r w:rsidRPr="007F758D">
        <w:rPr>
          <w:rFonts w:ascii="Arial" w:hAnsi="Arial" w:cs="Arial"/>
          <w:sz w:val="20"/>
          <w:szCs w:val="20"/>
        </w:rPr>
        <w:t>: d</w:t>
      </w:r>
      <w:r>
        <w:rPr>
          <w:rFonts w:ascii="Arial" w:hAnsi="Arial" w:cs="Arial"/>
          <w:sz w:val="20"/>
          <w:szCs w:val="20"/>
        </w:rPr>
        <w:t>os</w:t>
      </w:r>
      <w:r w:rsidRPr="007F758D">
        <w:rPr>
          <w:rFonts w:ascii="Arial" w:hAnsi="Arial" w:cs="Arial"/>
          <w:sz w:val="20"/>
          <w:szCs w:val="20"/>
        </w:rPr>
        <w:t xml:space="preserve"> autor</w:t>
      </w:r>
      <w:r>
        <w:rPr>
          <w:rFonts w:ascii="Arial" w:hAnsi="Arial" w:cs="Arial"/>
          <w:sz w:val="20"/>
          <w:szCs w:val="20"/>
        </w:rPr>
        <w:t>es</w:t>
      </w:r>
      <w:r w:rsidRPr="007F758D">
        <w:rPr>
          <w:rFonts w:ascii="Arial" w:hAnsi="Arial" w:cs="Arial"/>
          <w:sz w:val="20"/>
          <w:szCs w:val="20"/>
        </w:rPr>
        <w:t>, 2025</w:t>
      </w:r>
    </w:p>
    <w:p w14:paraId="51FA9F2E" w14:textId="77777777" w:rsidR="007F758D" w:rsidRDefault="007F758D" w:rsidP="007F758D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33DB868B" w14:textId="6541DCA7" w:rsidR="007F758D" w:rsidRDefault="007F758D" w:rsidP="007F758D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Figura 5: </w:t>
      </w:r>
      <w:r w:rsidRPr="007F758D">
        <w:rPr>
          <w:rFonts w:ascii="Arial" w:hAnsi="Arial" w:cs="Arial"/>
          <w:sz w:val="20"/>
          <w:szCs w:val="20"/>
        </w:rPr>
        <w:t>avaliação geral da plataforma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7C825B" w14:textId="5307511F" w:rsidR="006B5CA8" w:rsidRDefault="006B5CA8" w:rsidP="007F758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4BAA123" wp14:editId="1252F9D7">
            <wp:extent cx="4984376" cy="3293639"/>
            <wp:effectExtent l="0" t="0" r="0" b="0"/>
            <wp:docPr id="12970429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42988" name="Imagem 129704298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116" cy="333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0D3A" w14:textId="501251AF" w:rsidR="00F971BD" w:rsidRDefault="00F971BD" w:rsidP="007F758D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BD6796">
        <w:rPr>
          <w:rFonts w:ascii="Arial" w:hAnsi="Arial" w:cs="Arial"/>
          <w:b/>
          <w:bCs/>
          <w:sz w:val="20"/>
          <w:szCs w:val="20"/>
        </w:rPr>
        <w:t>Fonte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7F758D">
        <w:rPr>
          <w:rFonts w:ascii="Arial" w:hAnsi="Arial" w:cs="Arial"/>
          <w:sz w:val="20"/>
          <w:szCs w:val="20"/>
        </w:rPr>
        <w:t xml:space="preserve"> dos autores, </w:t>
      </w:r>
      <w:r w:rsidRPr="00BD6796">
        <w:rPr>
          <w:rFonts w:ascii="Arial" w:hAnsi="Arial" w:cs="Arial"/>
          <w:sz w:val="20"/>
          <w:szCs w:val="20"/>
        </w:rPr>
        <w:t>2025</w:t>
      </w:r>
    </w:p>
    <w:p w14:paraId="61F68EF4" w14:textId="77777777" w:rsidR="006B5CA8" w:rsidRDefault="006B5CA8" w:rsidP="00845C3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0137276" w14:textId="7AD3DD92" w:rsidR="0046664D" w:rsidRDefault="006B5CA8" w:rsidP="006B5CA8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6B5CA8">
        <w:rPr>
          <w:rFonts w:ascii="Arial" w:hAnsi="Arial" w:cs="Arial"/>
          <w:sz w:val="20"/>
          <w:szCs w:val="20"/>
        </w:rPr>
        <w:lastRenderedPageBreak/>
        <w:t xml:space="preserve">Dentre os pontos de melhora, verifica-se que </w:t>
      </w:r>
      <w:proofErr w:type="spellStart"/>
      <w:r w:rsidRPr="006B5CA8">
        <w:rPr>
          <w:rFonts w:ascii="Arial" w:hAnsi="Arial" w:cs="Arial"/>
          <w:sz w:val="20"/>
          <w:szCs w:val="20"/>
        </w:rPr>
        <w:t>pos</w:t>
      </w:r>
      <w:proofErr w:type="spellEnd"/>
      <w:r w:rsidRPr="006B5CA8">
        <w:rPr>
          <w:rFonts w:ascii="Arial" w:hAnsi="Arial" w:cs="Arial"/>
          <w:sz w:val="20"/>
          <w:szCs w:val="20"/>
        </w:rPr>
        <w:t xml:space="preserve"> critérios relacionados à interface e à clareza de informações foram o que conquistaram menor </w:t>
      </w:r>
      <w:r>
        <w:rPr>
          <w:rFonts w:ascii="Arial" w:hAnsi="Arial" w:cs="Arial"/>
          <w:sz w:val="20"/>
          <w:szCs w:val="20"/>
        </w:rPr>
        <w:t xml:space="preserve">percentual de satisfação, o que pode ser justificado pelo fato de ser a primeira versão da plataforma, realizada com recurso próprio dos autores, na qual alguns ajustes podem ser realizados em uma versão mais atualizada. </w:t>
      </w:r>
    </w:p>
    <w:p w14:paraId="018A5DC7" w14:textId="18C345FC" w:rsidR="006B5CA8" w:rsidRDefault="006B5CA8" w:rsidP="006B5CA8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Contudo, vale destacar que isso não prejudicou de forma </w:t>
      </w:r>
      <w:proofErr w:type="spellStart"/>
      <w:r>
        <w:rPr>
          <w:rFonts w:ascii="Arial" w:hAnsi="Arial" w:cs="Arial"/>
          <w:sz w:val="20"/>
          <w:szCs w:val="20"/>
        </w:rPr>
        <w:t>estatiscamente</w:t>
      </w:r>
      <w:proofErr w:type="spellEnd"/>
      <w:r>
        <w:rPr>
          <w:rFonts w:ascii="Arial" w:hAnsi="Arial" w:cs="Arial"/>
          <w:sz w:val="20"/>
          <w:szCs w:val="20"/>
        </w:rPr>
        <w:t xml:space="preserve"> relevante a aceitação geral da plataforma e sua validação, uma vez que os demais índices obtiveram resultado maior que 97% de aprovação. </w:t>
      </w:r>
    </w:p>
    <w:p w14:paraId="13C47806" w14:textId="6E19D21C" w:rsidR="006B5CA8" w:rsidRDefault="006B5CA8" w:rsidP="006B5CA8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Assim, pode-se destacar que, apesar da primeira versão, a plataforma pode cumprir sua missão, qual seja, acompanhar em tempo real os riscos e incidentes relacionados </w:t>
      </w:r>
      <w:proofErr w:type="spellStart"/>
      <w:r>
        <w:rPr>
          <w:rFonts w:ascii="Arial" w:hAnsi="Arial" w:cs="Arial"/>
          <w:sz w:val="20"/>
          <w:szCs w:val="20"/>
        </w:rPr>
        <w:t>á</w:t>
      </w:r>
      <w:proofErr w:type="spellEnd"/>
      <w:r>
        <w:rPr>
          <w:rFonts w:ascii="Arial" w:hAnsi="Arial" w:cs="Arial"/>
          <w:sz w:val="20"/>
          <w:szCs w:val="20"/>
        </w:rPr>
        <w:t xml:space="preserve"> segurança, facilitando a </w:t>
      </w:r>
      <w:proofErr w:type="spellStart"/>
      <w:r>
        <w:rPr>
          <w:rFonts w:ascii="Arial" w:hAnsi="Arial" w:cs="Arial"/>
          <w:sz w:val="20"/>
          <w:szCs w:val="20"/>
        </w:rPr>
        <w:t>comunicaçõa</w:t>
      </w:r>
      <w:proofErr w:type="spellEnd"/>
      <w:r>
        <w:rPr>
          <w:rFonts w:ascii="Arial" w:hAnsi="Arial" w:cs="Arial"/>
          <w:sz w:val="20"/>
          <w:szCs w:val="20"/>
        </w:rPr>
        <w:t xml:space="preserve"> entre os setores responsáveis e garantindo uma resposta mais ágil e eficiente. </w:t>
      </w:r>
    </w:p>
    <w:p w14:paraId="5F33DA84" w14:textId="3B14F2D2" w:rsidR="006B5CA8" w:rsidRDefault="006B5CA8" w:rsidP="006B5CA8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 importante salientar que a plataforma SSHO é uma tecnologia que poderá ser utilizada em hospitais, de forma a melhorar a eficiência no monitoramento e no gerenciamento de riscos, promovendo uma diminuição dos acidentes perfurocortantes, uma redução no adoecimento dos profissionais, uma melhora na qualidade da assistência e de vida dos profissionais e, de forma relacionada, do paciente, que poderá contar com um ambiente mais seguro. </w:t>
      </w:r>
    </w:p>
    <w:p w14:paraId="45DBFB8D" w14:textId="77777777" w:rsidR="006B5CA8" w:rsidRPr="006B5CA8" w:rsidRDefault="006B5CA8" w:rsidP="006B5CA8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451AF986" w14:textId="234E1F20" w:rsidR="0046664D" w:rsidRPr="00477FAD" w:rsidRDefault="0046664D" w:rsidP="00477FA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77FAD">
        <w:rPr>
          <w:rFonts w:ascii="Arial" w:hAnsi="Arial" w:cs="Arial"/>
          <w:b/>
          <w:bCs/>
          <w:sz w:val="20"/>
          <w:szCs w:val="20"/>
        </w:rPr>
        <w:t xml:space="preserve">CONSIDERAÇÕES FINAIS </w:t>
      </w:r>
    </w:p>
    <w:p w14:paraId="49E39B5F" w14:textId="77777777" w:rsidR="00B9327C" w:rsidRDefault="00845C33" w:rsidP="00845C33">
      <w:pPr>
        <w:spacing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5C33">
        <w:rPr>
          <w:rFonts w:ascii="Arial" w:hAnsi="Arial" w:cs="Arial"/>
          <w:color w:val="000000" w:themeColor="text1"/>
          <w:sz w:val="20"/>
          <w:szCs w:val="20"/>
        </w:rPr>
        <w:t xml:space="preserve">A Plataforma SSHO é uma inovação tecnológica projetada para otimizar os processos de trabalho no ambiente hospitalar e reduzir a incidência de acidentes no local de trabalho. Além disso, visa </w:t>
      </w:r>
      <w:r w:rsidR="0017594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45C33">
        <w:rPr>
          <w:rFonts w:ascii="Arial" w:hAnsi="Arial" w:cs="Arial"/>
          <w:color w:val="000000" w:themeColor="text1"/>
          <w:sz w:val="20"/>
          <w:szCs w:val="20"/>
        </w:rPr>
        <w:t xml:space="preserve">melhorar a segurança ao identificar de forma mais ampla e prática os riscos ocupacionais inerentes aos serviços, permitindo tomada de decisão mais rápida e eficiente. </w:t>
      </w:r>
    </w:p>
    <w:p w14:paraId="0605EFB2" w14:textId="41625C95" w:rsidR="00B9327C" w:rsidRDefault="00B9327C" w:rsidP="00B9327C">
      <w:pPr>
        <w:spacing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Vale destacar que a plataforma, após aprovação, poderá ser utilizada pela equipe multiprofissional, não se restringindo a médicos, mas enfermeiros, técnicos, e todos aqueles expostos em ambiente de cirurgia. Além disso, pode reduzir o número de acidentes em centros cirúrgicos e também atuar como um indicador do bom processo laboral e do fluxo de trabalho, a partir de dados estatísticos gerados a partir do próprio preenchimento dos formulários de cada campo de registro. Nesse sentido, a plataforma serve tanto para o engenheiro de segurança do trabalho presente no hospital que outrora for utilizado, quanto para a própria equipe do serviço de cirurgia. </w:t>
      </w:r>
    </w:p>
    <w:p w14:paraId="65860859" w14:textId="4D86C3A9" w:rsidR="00B9327C" w:rsidRDefault="00B9327C" w:rsidP="00845C33">
      <w:pPr>
        <w:spacing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Considerando a ausência de tecnologias nesse sentido, verificada a partir de pesquisa bibliográfica e do registro de marca, destaca-se o pioneirismo da plataforma no estado do Pará, especialmente para profissionais do centro cirúrgico. Logo, apesar do destaque, é valido destacar a necessidade de incentivo de pesquisa e desenvolvimento de projetos que possam melhorar as condições de trabalho e a dinâmica de serviço de outras áreas do hospital que também estão sujeitas a acidentes.</w:t>
      </w:r>
    </w:p>
    <w:p w14:paraId="7ED52788" w14:textId="6199EC96" w:rsidR="00B9327C" w:rsidRDefault="00B9327C" w:rsidP="00845C33">
      <w:pPr>
        <w:spacing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Sublinha-se que o desenvolvimento da plataforma foi de custeio próprio, o que poderia indicar um fator limitante para outros pesquisadores. Assim, diante da relevância da temática e do aumento de acidentes de trabalho, </w:t>
      </w:r>
      <w:r w:rsidR="00A856DB">
        <w:rPr>
          <w:rFonts w:ascii="Arial" w:hAnsi="Arial" w:cs="Arial"/>
          <w:color w:val="000000" w:themeColor="text1"/>
          <w:sz w:val="20"/>
          <w:szCs w:val="20"/>
        </w:rPr>
        <w:t xml:space="preserve">seria interessante contar com o financiamento de agências de fomento para o desenvolvimento de outras pesquisas. </w:t>
      </w:r>
    </w:p>
    <w:p w14:paraId="4E3F6209" w14:textId="77777777" w:rsidR="0046664D" w:rsidRPr="00477FAD" w:rsidRDefault="0046664D" w:rsidP="00477FAD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49EB5B35" w14:textId="77777777" w:rsidR="0046664D" w:rsidRPr="00477FAD" w:rsidRDefault="00B83B33" w:rsidP="00477FA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12121"/>
        </w:rPr>
        <w:pict w14:anchorId="3CA61FB5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516D9B7" w14:textId="2BBD61E4" w:rsidR="0046664D" w:rsidRPr="00477FAD" w:rsidRDefault="0046664D" w:rsidP="00477FA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77FAD">
        <w:rPr>
          <w:rFonts w:ascii="Arial" w:hAnsi="Arial" w:cs="Arial"/>
          <w:b/>
          <w:bCs/>
          <w:sz w:val="20"/>
          <w:szCs w:val="20"/>
        </w:rPr>
        <w:t xml:space="preserve">REFERÊNCIAS </w:t>
      </w:r>
    </w:p>
    <w:p w14:paraId="2415DFE5" w14:textId="77777777" w:rsidR="003A7008" w:rsidRPr="003A7008" w:rsidRDefault="003A7008" w:rsidP="00845C33">
      <w:pPr>
        <w:rPr>
          <w:color w:val="000000" w:themeColor="text1"/>
          <w:highlight w:val="yellow"/>
        </w:rPr>
      </w:pPr>
      <w:bookmarkStart w:id="1" w:name="_Hlk61660829"/>
    </w:p>
    <w:p w14:paraId="6780A87C" w14:textId="6BC5FA5E" w:rsidR="003A7008" w:rsidRPr="007F758D" w:rsidRDefault="003A7008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AQUINO FSS. As Tecnologias de Informação e Comunicação (TIC) aliadas à administração pública: uma abordagem acerca da informatização na esfera da Atenção Básica em Saúde na cidade de Macau/RN. </w:t>
      </w:r>
      <w:r w:rsidR="00A856DB" w:rsidRPr="007F758D">
        <w:rPr>
          <w:rFonts w:ascii="Arial" w:hAnsi="Arial" w:cs="Arial"/>
          <w:color w:val="000000" w:themeColor="text1"/>
          <w:sz w:val="20"/>
          <w:szCs w:val="20"/>
        </w:rPr>
        <w:t xml:space="preserve">2022. Monografia (Graduação em Administração Pública à Distância) - Secretaria de Educação à Distância, Universidade Federal do Rio Grande do Norte, Natal, 2022. 33f. </w:t>
      </w:r>
    </w:p>
    <w:p w14:paraId="4B477E5E" w14:textId="77777777" w:rsidR="00B060A5" w:rsidRPr="007F758D" w:rsidRDefault="00B060A5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96B47F" w14:textId="2737D172" w:rsidR="00A856DB" w:rsidRPr="007F758D" w:rsidRDefault="00A856DB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BALONECKER AFC, et al. Acidente com material biológico em um hospital universitário no Rio de Janeiro: série histórica 2016-2020. Rev. 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Enferm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. Atual. In Derme 97(4), out dez 2023. </w:t>
      </w:r>
      <w:proofErr w:type="gramStart"/>
      <w:r w:rsidRPr="007F758D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gram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023099. </w:t>
      </w:r>
    </w:p>
    <w:p w14:paraId="604A5BF0" w14:textId="77777777" w:rsidR="00A856DB" w:rsidRPr="007F758D" w:rsidRDefault="00A856DB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CC874B" w14:textId="07E2EDB9" w:rsidR="003A7008" w:rsidRPr="007F758D" w:rsidRDefault="003A7008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lastRenderedPageBreak/>
        <w:t>B</w:t>
      </w:r>
      <w:r w:rsidR="00B060A5" w:rsidRPr="007F758D">
        <w:rPr>
          <w:rFonts w:ascii="Arial" w:hAnsi="Arial" w:cs="Arial"/>
          <w:color w:val="000000" w:themeColor="text1"/>
          <w:sz w:val="20"/>
          <w:szCs w:val="20"/>
        </w:rPr>
        <w:t>ENDER</w:t>
      </w: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 JD et al. O uso de tecnologias de informação e comunicação em Saúde na Atenção Primária em Saúde no Brasil, 2014 a 2018. Ciênc. 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Sau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>. Col., v. 29, n. 1, jan. 2024. </w:t>
      </w:r>
    </w:p>
    <w:p w14:paraId="3A6F37D1" w14:textId="77777777" w:rsidR="003A7008" w:rsidRPr="007F758D" w:rsidRDefault="003A7008" w:rsidP="006B5CA8">
      <w:pPr>
        <w:pStyle w:val="NormalWeb"/>
        <w:rPr>
          <w:rFonts w:ascii="Arial" w:hAnsi="Arial" w:cs="Arial"/>
          <w:sz w:val="20"/>
          <w:szCs w:val="20"/>
        </w:rPr>
      </w:pPr>
      <w:r w:rsidRPr="007F758D">
        <w:rPr>
          <w:rFonts w:ascii="Arial" w:hAnsi="Arial" w:cs="Arial"/>
          <w:sz w:val="20"/>
          <w:szCs w:val="20"/>
        </w:rPr>
        <w:t xml:space="preserve">BRASIL. Diretrizes Nacionais da Vigilância em Saúde. Brasília, 2010. Disponível em: https://bvsms.saude.gov.br/bvs/publicacoes/diretrizes_nacionais_vigilancia_saude.pdf. Acesso em 13 </w:t>
      </w:r>
      <w:proofErr w:type="spellStart"/>
      <w:r w:rsidRPr="007F758D">
        <w:rPr>
          <w:rFonts w:ascii="Arial" w:hAnsi="Arial" w:cs="Arial"/>
          <w:sz w:val="20"/>
          <w:szCs w:val="20"/>
        </w:rPr>
        <w:t>abr</w:t>
      </w:r>
      <w:proofErr w:type="spellEnd"/>
      <w:r w:rsidRPr="007F758D">
        <w:rPr>
          <w:rFonts w:ascii="Arial" w:hAnsi="Arial" w:cs="Arial"/>
          <w:sz w:val="20"/>
          <w:szCs w:val="20"/>
        </w:rPr>
        <w:t xml:space="preserve"> 2025. </w:t>
      </w:r>
    </w:p>
    <w:p w14:paraId="57BD1229" w14:textId="77777777" w:rsidR="003A7008" w:rsidRPr="007F758D" w:rsidRDefault="003A7008" w:rsidP="006B5CA8">
      <w:pPr>
        <w:pStyle w:val="NormalWeb"/>
        <w:rPr>
          <w:rFonts w:ascii="Arial" w:hAnsi="Arial" w:cs="Arial"/>
          <w:sz w:val="20"/>
          <w:szCs w:val="20"/>
        </w:rPr>
      </w:pPr>
      <w:r w:rsidRPr="007F758D">
        <w:rPr>
          <w:rFonts w:ascii="Arial" w:hAnsi="Arial" w:cs="Arial"/>
          <w:sz w:val="20"/>
          <w:szCs w:val="20"/>
        </w:rPr>
        <w:t xml:space="preserve">BRASIL. Ministério da Saúde. Guia de vigilância em saúde. 5 ed. rev. </w:t>
      </w:r>
      <w:proofErr w:type="spellStart"/>
      <w:r w:rsidRPr="007F758D">
        <w:rPr>
          <w:rFonts w:ascii="Arial" w:hAnsi="Arial" w:cs="Arial"/>
          <w:sz w:val="20"/>
          <w:szCs w:val="20"/>
        </w:rPr>
        <w:t>Atual.Vrasília</w:t>
      </w:r>
      <w:proofErr w:type="spellEnd"/>
      <w:r w:rsidRPr="007F758D">
        <w:rPr>
          <w:rFonts w:ascii="Arial" w:hAnsi="Arial" w:cs="Arial"/>
          <w:sz w:val="20"/>
          <w:szCs w:val="20"/>
        </w:rPr>
        <w:t xml:space="preserve">: ministério da Saúde, 2022. Disponível em: https://bvsms.saude.gov.br/bvs/publicacoes/guia_vigilancia_saude_5ed_rev_atual.pdf- Acesso em 18 </w:t>
      </w:r>
      <w:proofErr w:type="spellStart"/>
      <w:r w:rsidRPr="007F758D">
        <w:rPr>
          <w:rFonts w:ascii="Arial" w:hAnsi="Arial" w:cs="Arial"/>
          <w:sz w:val="20"/>
          <w:szCs w:val="20"/>
        </w:rPr>
        <w:t>fev</w:t>
      </w:r>
      <w:proofErr w:type="spellEnd"/>
      <w:r w:rsidRPr="007F758D">
        <w:rPr>
          <w:rFonts w:ascii="Arial" w:hAnsi="Arial" w:cs="Arial"/>
          <w:sz w:val="20"/>
          <w:szCs w:val="20"/>
        </w:rPr>
        <w:t xml:space="preserve"> 2025. </w:t>
      </w:r>
    </w:p>
    <w:p w14:paraId="0B6E8271" w14:textId="77777777" w:rsidR="003A7008" w:rsidRPr="007F758D" w:rsidRDefault="003A7008" w:rsidP="006B5CA8">
      <w:pPr>
        <w:pStyle w:val="NormalWeb"/>
        <w:rPr>
          <w:rFonts w:ascii="Arial" w:hAnsi="Arial" w:cs="Arial"/>
          <w:sz w:val="20"/>
          <w:szCs w:val="20"/>
        </w:rPr>
      </w:pPr>
      <w:r w:rsidRPr="007F758D">
        <w:rPr>
          <w:rFonts w:ascii="Arial" w:hAnsi="Arial" w:cs="Arial"/>
          <w:sz w:val="20"/>
          <w:szCs w:val="20"/>
        </w:rPr>
        <w:t xml:space="preserve">BRASIL. Ministério da Saúde. Saúde do Trabalhador. Cadernos de Atenção Básica. Nº 5. Brasília: ministério da Saúde. 2002. </w:t>
      </w:r>
      <w:proofErr w:type="spellStart"/>
      <w:r w:rsidRPr="007F758D">
        <w:rPr>
          <w:rFonts w:ascii="Arial" w:hAnsi="Arial" w:cs="Arial"/>
          <w:sz w:val="20"/>
          <w:szCs w:val="20"/>
        </w:rPr>
        <w:t>Disponívem</w:t>
      </w:r>
      <w:proofErr w:type="spellEnd"/>
      <w:r w:rsidRPr="007F758D">
        <w:rPr>
          <w:rFonts w:ascii="Arial" w:hAnsi="Arial" w:cs="Arial"/>
          <w:sz w:val="20"/>
          <w:szCs w:val="20"/>
        </w:rPr>
        <w:t xml:space="preserve"> em: https://bvsms.saude.gov.br/bvs/publicacoes/saude_trabalhador_cab5_2ed.pdf</w:t>
      </w:r>
    </w:p>
    <w:p w14:paraId="298EF0D5" w14:textId="77777777" w:rsidR="003A7008" w:rsidRPr="007F758D" w:rsidRDefault="003A7008" w:rsidP="006B5CA8">
      <w:pPr>
        <w:pStyle w:val="NormalWeb"/>
        <w:rPr>
          <w:rFonts w:ascii="Arial" w:hAnsi="Arial" w:cs="Arial"/>
          <w:sz w:val="20"/>
          <w:szCs w:val="20"/>
        </w:rPr>
      </w:pPr>
      <w:r w:rsidRPr="007F758D">
        <w:rPr>
          <w:rFonts w:ascii="Arial" w:hAnsi="Arial" w:cs="Arial"/>
          <w:sz w:val="20"/>
          <w:szCs w:val="20"/>
        </w:rPr>
        <w:t xml:space="preserve">BRASIL. NR 32 – Segurança e saúde no trabalho em serviços da saúde. 2005. Disponível em: https://www.gov.br/trabalho-e-emprego/pt-br/acesso-a-informacao/participacao-social/conselhos-e-orgaos-colegiados/comissao-tripartite-partitaria-permanente/arquivos/normas-regulamentadoras/nr-32-atualizada-2022-2.pdf. Acesso em 18 </w:t>
      </w:r>
      <w:proofErr w:type="spellStart"/>
      <w:r w:rsidRPr="007F758D">
        <w:rPr>
          <w:rFonts w:ascii="Arial" w:hAnsi="Arial" w:cs="Arial"/>
          <w:sz w:val="20"/>
          <w:szCs w:val="20"/>
        </w:rPr>
        <w:t>abr</w:t>
      </w:r>
      <w:proofErr w:type="spellEnd"/>
      <w:r w:rsidRPr="007F758D">
        <w:rPr>
          <w:rFonts w:ascii="Arial" w:hAnsi="Arial" w:cs="Arial"/>
          <w:sz w:val="20"/>
          <w:szCs w:val="20"/>
        </w:rPr>
        <w:t xml:space="preserve"> 2025. </w:t>
      </w:r>
    </w:p>
    <w:p w14:paraId="6BB9F5AA" w14:textId="77777777" w:rsidR="003A7008" w:rsidRPr="007F758D" w:rsidRDefault="003A7008" w:rsidP="006B5CA8">
      <w:pPr>
        <w:pStyle w:val="NormalWeb"/>
        <w:rPr>
          <w:rFonts w:ascii="Arial" w:hAnsi="Arial" w:cs="Arial"/>
          <w:sz w:val="20"/>
          <w:szCs w:val="20"/>
        </w:rPr>
      </w:pPr>
      <w:r w:rsidRPr="007F758D">
        <w:rPr>
          <w:rFonts w:ascii="Arial" w:hAnsi="Arial" w:cs="Arial"/>
          <w:sz w:val="20"/>
          <w:szCs w:val="20"/>
        </w:rPr>
        <w:t xml:space="preserve">BRASIL. Portaria nº 1823, de 23 de agosto de 2012. </w:t>
      </w:r>
      <w:proofErr w:type="spellStart"/>
      <w:r w:rsidRPr="007F758D">
        <w:rPr>
          <w:rFonts w:ascii="Arial" w:hAnsi="Arial" w:cs="Arial"/>
          <w:sz w:val="20"/>
          <w:szCs w:val="20"/>
        </w:rPr>
        <w:t>Instituui</w:t>
      </w:r>
      <w:proofErr w:type="spellEnd"/>
      <w:r w:rsidRPr="007F758D">
        <w:rPr>
          <w:rFonts w:ascii="Arial" w:hAnsi="Arial" w:cs="Arial"/>
          <w:sz w:val="20"/>
          <w:szCs w:val="20"/>
        </w:rPr>
        <w:t xml:space="preserve"> a Política Nacional de Saúde do Trabalhador e da Trabalhadora. 2012. Disponível em: https://bvsms.saude.gov.br/bvs/saudelegis/gm/2012/prt1823_23_08_2012.html. Acesso em 13 </w:t>
      </w:r>
      <w:proofErr w:type="spellStart"/>
      <w:r w:rsidRPr="007F758D">
        <w:rPr>
          <w:rFonts w:ascii="Arial" w:hAnsi="Arial" w:cs="Arial"/>
          <w:sz w:val="20"/>
          <w:szCs w:val="20"/>
        </w:rPr>
        <w:t>abr</w:t>
      </w:r>
      <w:proofErr w:type="spellEnd"/>
      <w:r w:rsidRPr="007F758D">
        <w:rPr>
          <w:rFonts w:ascii="Arial" w:hAnsi="Arial" w:cs="Arial"/>
          <w:sz w:val="20"/>
          <w:szCs w:val="20"/>
        </w:rPr>
        <w:t xml:space="preserve"> 2025. </w:t>
      </w:r>
    </w:p>
    <w:p w14:paraId="5812763D" w14:textId="77777777" w:rsidR="003A7008" w:rsidRPr="007F758D" w:rsidRDefault="003A7008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Style w:val="Forte"/>
          <w:rFonts w:ascii="Arial" w:hAnsi="Arial" w:cs="Arial"/>
          <w:b w:val="0"/>
          <w:bCs w:val="0"/>
          <w:color w:val="000000" w:themeColor="text1"/>
          <w:sz w:val="20"/>
          <w:szCs w:val="20"/>
        </w:rPr>
        <w:t>CARDOSO AC.</w:t>
      </w:r>
      <w:r w:rsidRPr="007F758D">
        <w:rPr>
          <w:rStyle w:val="Fort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758D">
        <w:rPr>
          <w:rStyle w:val="Forte"/>
          <w:rFonts w:ascii="Arial" w:hAnsi="Arial" w:cs="Arial"/>
          <w:b w:val="0"/>
          <w:bCs w:val="0"/>
          <w:color w:val="000000" w:themeColor="text1"/>
          <w:sz w:val="20"/>
          <w:szCs w:val="20"/>
        </w:rPr>
        <w:t>Trabalho e saúde do trabalhador no contexto atual: ensinamentos da Enquete Europeia sobre Condições de Trabalho</w:t>
      </w: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. Ver Saúde e Sociedade 28(1), 169-181. </w:t>
      </w:r>
      <w:proofErr w:type="gramStart"/>
      <w:r w:rsidRPr="007F758D">
        <w:rPr>
          <w:rFonts w:ascii="Arial" w:hAnsi="Arial" w:cs="Arial"/>
          <w:color w:val="000000" w:themeColor="text1"/>
          <w:sz w:val="20"/>
          <w:szCs w:val="20"/>
        </w:rPr>
        <w:t>mar</w:t>
      </w:r>
      <w:proofErr w:type="gram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 2019.</w:t>
      </w:r>
    </w:p>
    <w:p w14:paraId="1A1F97CA" w14:textId="77777777" w:rsidR="003A7008" w:rsidRPr="007F758D" w:rsidRDefault="003A7008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8E94FD" w14:textId="45297A76" w:rsidR="00A856DB" w:rsidRPr="00CD208C" w:rsidRDefault="00A856DB" w:rsidP="00845C33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CUI Z, et al. </w:t>
      </w:r>
      <w:r w:rsidRPr="0043535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Sharp injuries: a cross-sectional study among health care workers in a provincial teaching hospital in China. </w:t>
      </w:r>
      <w:proofErr w:type="spellStart"/>
      <w:r w:rsidRPr="00CD208C">
        <w:rPr>
          <w:rFonts w:ascii="Arial" w:hAnsi="Arial" w:cs="Arial"/>
          <w:color w:val="000000" w:themeColor="text1"/>
          <w:sz w:val="20"/>
          <w:szCs w:val="20"/>
          <w:lang w:val="en-US"/>
        </w:rPr>
        <w:t>Enviromental</w:t>
      </w:r>
      <w:proofErr w:type="spellEnd"/>
      <w:r w:rsidRPr="00CD208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health and preventive medicine, 23(1), p. 2, </w:t>
      </w:r>
      <w:proofErr w:type="spellStart"/>
      <w:proofErr w:type="gramStart"/>
      <w:r w:rsidRPr="00CD208C">
        <w:rPr>
          <w:rFonts w:ascii="Arial" w:hAnsi="Arial" w:cs="Arial"/>
          <w:color w:val="000000" w:themeColor="text1"/>
          <w:sz w:val="20"/>
          <w:szCs w:val="20"/>
          <w:lang w:val="en-US"/>
        </w:rPr>
        <w:t>jan</w:t>
      </w:r>
      <w:proofErr w:type="spellEnd"/>
      <w:proofErr w:type="gramEnd"/>
      <w:r w:rsidRPr="00CD208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2018. </w:t>
      </w:r>
    </w:p>
    <w:p w14:paraId="5F432D34" w14:textId="77777777" w:rsidR="00A856DB" w:rsidRPr="00CD208C" w:rsidRDefault="00A856DB" w:rsidP="00845C33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3AAB124" w14:textId="7C2B61E1" w:rsidR="00A856DB" w:rsidRPr="007F758D" w:rsidRDefault="00A856DB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08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CRUZ APC et al. </w:t>
      </w: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Alguns aspectos da política nacional de saúde do trabalhador no Brasil. Psicologia e Sociedade, </w:t>
      </w:r>
      <w:r w:rsidR="007F758D" w:rsidRPr="007F758D">
        <w:rPr>
          <w:rFonts w:ascii="Arial" w:hAnsi="Arial" w:cs="Arial"/>
          <w:color w:val="000000" w:themeColor="text1"/>
          <w:sz w:val="20"/>
          <w:szCs w:val="20"/>
        </w:rPr>
        <w:t xml:space="preserve">30, 2018.  </w:t>
      </w:r>
      <w:proofErr w:type="gramStart"/>
      <w:r w:rsidR="007F758D" w:rsidRPr="007F758D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gramEnd"/>
      <w:r w:rsidR="007F758D" w:rsidRPr="007F758D">
        <w:rPr>
          <w:rFonts w:ascii="Arial" w:hAnsi="Arial" w:cs="Arial"/>
          <w:color w:val="000000" w:themeColor="text1"/>
          <w:sz w:val="20"/>
          <w:szCs w:val="20"/>
        </w:rPr>
        <w:t>154362</w:t>
      </w:r>
    </w:p>
    <w:p w14:paraId="4EF1086F" w14:textId="77777777" w:rsidR="007F758D" w:rsidRPr="007F758D" w:rsidRDefault="007F758D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4EE92F" w14:textId="77777777" w:rsidR="003A7008" w:rsidRPr="007F758D" w:rsidRDefault="003A7008" w:rsidP="00845C33">
      <w:pPr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FONTENELLES MJ. Bioestatística Aplicada à Pesquisa Experimental. Volume 2. Livraria da Física, 2012. </w:t>
      </w:r>
    </w:p>
    <w:p w14:paraId="5D437E28" w14:textId="77777777" w:rsidR="003A7008" w:rsidRPr="007F758D" w:rsidRDefault="003A7008" w:rsidP="00845C3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54A6EA" w14:textId="45BAF0DD" w:rsidR="003A7008" w:rsidRPr="007F758D" w:rsidRDefault="003A7008" w:rsidP="00845C33">
      <w:pPr>
        <w:jc w:val="both"/>
        <w:rPr>
          <w:rFonts w:ascii="Arial" w:hAnsi="Arial" w:cs="Arial"/>
          <w:sz w:val="20"/>
          <w:szCs w:val="20"/>
        </w:rPr>
      </w:pPr>
      <w:r w:rsidRPr="007F758D">
        <w:rPr>
          <w:rFonts w:ascii="Arial" w:hAnsi="Arial" w:cs="Arial"/>
          <w:sz w:val="20"/>
          <w:szCs w:val="20"/>
        </w:rPr>
        <w:t>G</w:t>
      </w:r>
      <w:r w:rsidR="00B060A5" w:rsidRPr="007F758D">
        <w:rPr>
          <w:rFonts w:ascii="Arial" w:hAnsi="Arial" w:cs="Arial"/>
          <w:sz w:val="20"/>
          <w:szCs w:val="20"/>
        </w:rPr>
        <w:t>OMEZ</w:t>
      </w:r>
      <w:r w:rsidRPr="007F758D">
        <w:rPr>
          <w:rFonts w:ascii="Arial" w:hAnsi="Arial" w:cs="Arial"/>
          <w:sz w:val="20"/>
          <w:szCs w:val="20"/>
        </w:rPr>
        <w:t xml:space="preserve"> CM, et al. Saúde do trabalhador: aspectos históricos, avanços e desafios no Sistema Único de Saúde. Ciênc. Saúde </w:t>
      </w:r>
      <w:proofErr w:type="gramStart"/>
      <w:r w:rsidRPr="007F758D">
        <w:rPr>
          <w:rFonts w:ascii="Arial" w:hAnsi="Arial" w:cs="Arial"/>
          <w:sz w:val="20"/>
          <w:szCs w:val="20"/>
        </w:rPr>
        <w:t>Coletiva.;</w:t>
      </w:r>
      <w:proofErr w:type="gramEnd"/>
      <w:r w:rsidRPr="007F758D">
        <w:rPr>
          <w:rFonts w:ascii="Arial" w:hAnsi="Arial" w:cs="Arial"/>
          <w:sz w:val="20"/>
          <w:szCs w:val="20"/>
        </w:rPr>
        <w:t xml:space="preserve"> 23(6):1963-1970, 2018.</w:t>
      </w:r>
    </w:p>
    <w:p w14:paraId="2694FD6B" w14:textId="4992209F" w:rsidR="00A856DB" w:rsidRDefault="00A856DB" w:rsidP="003A7008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>HENNINGTON EA, et al. Dez anos da Política Nacional de Saúde do trabalhador e da Trabalhadora e os desafios da formação para (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trans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)formação do trabalho. Rev. Bras. Saúde 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ocup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>, 49, 2024, e4.</w:t>
      </w:r>
    </w:p>
    <w:p w14:paraId="7C2DDF6F" w14:textId="407C6FA7" w:rsidR="007F758D" w:rsidRPr="007F758D" w:rsidRDefault="007F758D" w:rsidP="003A7008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MONTEIRO APF, et al.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Prevençaõ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acidentes e riscos biológicos no bloco cirúrgico: o papel da enfermagem. In: FREITAS GBL, VASCÃO E. Trauma,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Ciruriga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 Medicina Intensiva. Ed 2. Editora Pasteur, 2024. </w:t>
      </w:r>
    </w:p>
    <w:p w14:paraId="0F9415A2" w14:textId="0AD849D4" w:rsidR="003A7008" w:rsidRPr="00435359" w:rsidRDefault="003A7008" w:rsidP="003A7008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PASQUALI L. Teoria e 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métodos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 de medida em 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ciências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 do comportamento. </w:t>
      </w:r>
      <w:r w:rsidRPr="0043535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Brasília: UnB: INEP, 1996. </w:t>
      </w:r>
    </w:p>
    <w:p w14:paraId="3F0EAB4A" w14:textId="3A47C267" w:rsidR="003A7008" w:rsidRPr="007F758D" w:rsidRDefault="003A7008" w:rsidP="00845C33">
      <w:pPr>
        <w:pStyle w:val="Default"/>
        <w:jc w:val="both"/>
        <w:rPr>
          <w:color w:val="000000" w:themeColor="text1"/>
          <w:sz w:val="20"/>
          <w:szCs w:val="20"/>
        </w:rPr>
      </w:pPr>
      <w:r w:rsidRPr="00435359">
        <w:rPr>
          <w:color w:val="000000" w:themeColor="text1"/>
          <w:sz w:val="20"/>
          <w:szCs w:val="20"/>
          <w:lang w:val="en-US"/>
        </w:rPr>
        <w:t xml:space="preserve">SANTOS LF, et al. Factors associated with acidentes involving biological material among health professionals. Ver. Bras. Med. </w:t>
      </w:r>
      <w:r w:rsidRPr="007F758D">
        <w:rPr>
          <w:color w:val="000000" w:themeColor="text1"/>
          <w:sz w:val="20"/>
          <w:szCs w:val="20"/>
        </w:rPr>
        <w:t xml:space="preserve">Trab. 21(4), 2024, e2022994. </w:t>
      </w:r>
    </w:p>
    <w:p w14:paraId="73D3238E" w14:textId="77777777" w:rsidR="007F758D" w:rsidRPr="007F758D" w:rsidRDefault="007F758D" w:rsidP="00845C33">
      <w:pPr>
        <w:pStyle w:val="Default"/>
        <w:jc w:val="both"/>
        <w:rPr>
          <w:color w:val="000000" w:themeColor="text1"/>
          <w:sz w:val="20"/>
          <w:szCs w:val="20"/>
        </w:rPr>
      </w:pPr>
    </w:p>
    <w:p w14:paraId="7A1CF044" w14:textId="6E09781A" w:rsidR="007F758D" w:rsidRPr="007F758D" w:rsidRDefault="007F758D" w:rsidP="00845C33">
      <w:pPr>
        <w:pStyle w:val="Default"/>
        <w:jc w:val="both"/>
        <w:rPr>
          <w:color w:val="000000" w:themeColor="text1"/>
          <w:sz w:val="20"/>
          <w:szCs w:val="20"/>
        </w:rPr>
      </w:pPr>
      <w:r w:rsidRPr="007F758D">
        <w:rPr>
          <w:color w:val="000000" w:themeColor="text1"/>
          <w:sz w:val="20"/>
          <w:szCs w:val="20"/>
        </w:rPr>
        <w:t xml:space="preserve">SILVA MF, et al. Vigilância em Saúde do </w:t>
      </w:r>
      <w:proofErr w:type="spellStart"/>
      <w:r w:rsidRPr="007F758D">
        <w:rPr>
          <w:color w:val="000000" w:themeColor="text1"/>
          <w:sz w:val="20"/>
          <w:szCs w:val="20"/>
        </w:rPr>
        <w:t>Tranalhador</w:t>
      </w:r>
      <w:proofErr w:type="spellEnd"/>
      <w:r w:rsidRPr="007F758D">
        <w:rPr>
          <w:color w:val="000000" w:themeColor="text1"/>
          <w:sz w:val="20"/>
          <w:szCs w:val="20"/>
        </w:rPr>
        <w:t xml:space="preserve"> na perspectiva de gestores e tomadores de decisão. Rev. Bras. Saúde ocup.48, 2023, e1. </w:t>
      </w:r>
    </w:p>
    <w:p w14:paraId="30CDFBA4" w14:textId="6DF9B3D2" w:rsidR="003A7008" w:rsidRPr="007F758D" w:rsidRDefault="003A7008" w:rsidP="003A7008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>SOUZA AC</w:t>
      </w:r>
      <w:r w:rsidR="00B060A5" w:rsidRPr="007F758D">
        <w:rPr>
          <w:rFonts w:ascii="Arial" w:hAnsi="Arial" w:cs="Arial"/>
          <w:color w:val="000000" w:themeColor="text1"/>
          <w:sz w:val="20"/>
          <w:szCs w:val="20"/>
        </w:rPr>
        <w:t>,</w:t>
      </w: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 et al. Propriedades psicométricas na avaliação de instrumentos: avaliação de confiabilidade e da validade. 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Epidemiol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. Serv. </w:t>
      </w:r>
      <w:proofErr w:type="spellStart"/>
      <w:r w:rsidRPr="007F758D">
        <w:rPr>
          <w:rFonts w:ascii="Arial" w:hAnsi="Arial" w:cs="Arial"/>
          <w:color w:val="000000" w:themeColor="text1"/>
          <w:sz w:val="20"/>
          <w:szCs w:val="20"/>
        </w:rPr>
        <w:t>Saude</w:t>
      </w:r>
      <w:proofErr w:type="spellEnd"/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. v. 26, n. 3, pag. 649-59, 2017. </w:t>
      </w:r>
    </w:p>
    <w:p w14:paraId="693BA089" w14:textId="77777777" w:rsidR="003A7008" w:rsidRPr="007F758D" w:rsidRDefault="003A7008" w:rsidP="00845C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SOUZA TS. </w:t>
      </w:r>
      <w:r w:rsidRPr="007F758D">
        <w:rPr>
          <w:rStyle w:val="Forte"/>
          <w:rFonts w:ascii="Arial" w:hAnsi="Arial" w:cs="Arial"/>
          <w:b w:val="0"/>
          <w:bCs w:val="0"/>
          <w:color w:val="000000" w:themeColor="text1"/>
          <w:sz w:val="20"/>
          <w:szCs w:val="20"/>
        </w:rPr>
        <w:t>Saúde do trabalhador na Atenção Básica: interfaces e desafios</w:t>
      </w:r>
      <w:r w:rsidRPr="007F758D">
        <w:rPr>
          <w:rFonts w:ascii="Arial" w:hAnsi="Arial" w:cs="Arial"/>
          <w:color w:val="000000" w:themeColor="text1"/>
          <w:sz w:val="20"/>
          <w:szCs w:val="20"/>
        </w:rPr>
        <w:t>. Revista Brasileira de Saúde Ocupacional 38(128), p. 292-301, dez 2013.</w:t>
      </w:r>
    </w:p>
    <w:p w14:paraId="2F8A9F6E" w14:textId="3B0AEE6D" w:rsidR="003A7008" w:rsidRPr="007F758D" w:rsidRDefault="003A7008" w:rsidP="00845C3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VAZZOLER-MENDONÇA A, et </w:t>
      </w:r>
      <w:r w:rsidR="00B060A5" w:rsidRPr="007F758D">
        <w:rPr>
          <w:rFonts w:ascii="Arial" w:hAnsi="Arial" w:cs="Arial"/>
          <w:color w:val="000000" w:themeColor="text1"/>
          <w:sz w:val="20"/>
          <w:szCs w:val="20"/>
        </w:rPr>
        <w:t>a</w:t>
      </w:r>
      <w:r w:rsidRPr="007F758D">
        <w:rPr>
          <w:rFonts w:ascii="Arial" w:hAnsi="Arial" w:cs="Arial"/>
          <w:color w:val="000000" w:themeColor="text1"/>
          <w:sz w:val="20"/>
          <w:szCs w:val="20"/>
        </w:rPr>
        <w:t xml:space="preserve">l.  Procedimento de avaliação de instrumentos por comitê de juízes especialistas para aprimoramento de coleta de dados. Nome da Revista. Revista GESTO-DEBATE, Campo Grande - MS, v. 23, n. 03, p.47-86, jan./dez 2023. </w:t>
      </w:r>
    </w:p>
    <w:bookmarkEnd w:id="1"/>
    <w:p w14:paraId="3C7685C1" w14:textId="77777777" w:rsidR="005B114E" w:rsidRPr="00477FAD" w:rsidRDefault="005B114E" w:rsidP="00477FAD">
      <w:pPr>
        <w:spacing w:line="276" w:lineRule="auto"/>
        <w:jc w:val="both"/>
        <w:rPr>
          <w:rFonts w:ascii="Arial" w:hAnsi="Arial" w:cs="Arial"/>
        </w:rPr>
      </w:pPr>
    </w:p>
    <w:sectPr w:rsidR="005B114E" w:rsidRPr="00477FAD" w:rsidSect="00AA3D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134" w:right="1134" w:bottom="1134" w:left="1134" w:header="992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9BBCB" w14:textId="77777777" w:rsidR="00B83B33" w:rsidRDefault="00B83B33">
      <w:r>
        <w:separator/>
      </w:r>
    </w:p>
  </w:endnote>
  <w:endnote w:type="continuationSeparator" w:id="0">
    <w:p w14:paraId="46F90FFA" w14:textId="77777777" w:rsidR="00B83B33" w:rsidRDefault="00B8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86492" w14:textId="77777777" w:rsidR="0084139D" w:rsidRDefault="008413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3"/>
        <w:szCs w:val="23"/>
      </w:rPr>
      <w:id w:val="-1061327450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-928656843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Cs w:val="22"/>
              </w:rPr>
              <w:id w:val="-1618975698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rPr>
                    <w:sz w:val="23"/>
                    <w:szCs w:val="23"/>
                  </w:rPr>
                  <w:id w:val="-1748802868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 w:val="23"/>
                        <w:szCs w:val="23"/>
                      </w:rPr>
                      <w:id w:val="21294278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C2B1F15" w14:textId="77777777" w:rsidR="002736E0" w:rsidRPr="00E51170" w:rsidRDefault="002736E0" w:rsidP="002736E0">
                        <w:pPr>
                          <w:pStyle w:val="Default"/>
                          <w:tabs>
                            <w:tab w:val="left" w:pos="3060"/>
                          </w:tabs>
                          <w:ind w:left="-284" w:right="-234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92033A">
                          <w:rPr>
                            <w:noProof/>
                            <w:sz w:val="23"/>
                            <w:szCs w:val="23"/>
                            <w:lang w:eastAsia="pt-B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264FD2B4" wp14:editId="5F5319C8">
                                  <wp:simplePos x="0" y="0"/>
                                  <wp:positionH relativeFrom="column">
                                    <wp:posOffset>-142875</wp:posOffset>
                                  </wp:positionH>
                                  <wp:positionV relativeFrom="paragraph">
                                    <wp:posOffset>133985</wp:posOffset>
                                  </wp:positionV>
                                  <wp:extent cx="6267450" cy="0"/>
                                  <wp:effectExtent l="0" t="0" r="0" b="0"/>
                                  <wp:wrapNone/>
                                  <wp:docPr id="4" name="Conector reto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62674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            <w:pict>
                                <v:line w14:anchorId="57936827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0.55pt" to="482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X+2AEAAAkEAAAOAAAAZHJzL2Uyb0RvYy54bWysU8uu0zAQ3SPxD5b3NGlVWhQ1vYteXTYI&#10;Kh4f4DrjxpJfGpsm/XvGTpt7BQgJxMaJ7Tln5pwZ7x5Ga9gFMGrvWr5c1JyBk77T7tzyb1+f3rzj&#10;LCbhOmG8g5ZfIfKH/etXuyE0sPK9Nx0gIxIXmyG0vE8pNFUVZQ9WxIUP4OhSebQi0RbPVYdiIHZr&#10;qlVdb6rBYxfQS4iRTh+nS74v/EqBTJ+UipCYaTnVlsqKZT3ltdrvRHNGEXotb2WIf6jCCu0o6Uz1&#10;KJJg31H/QmW1RB+9SgvpbeWV0hKKBlKzrH9S86UXAYoWMieG2ab4/2jlx8sRme5avubMCUstOlCj&#10;ZPLIEJJn62zREGJDkQd3xNsuhiNmvaNCm7+khI3F1utsK4yJSTrcrDbb9VtyX97vqmdgwJjeg7cs&#10;/7TcaJcVi0ZcPsREySj0HpKPjWMDzdlqW9clLHqjuydtTL6MeD4dDLKLyN2ut/WhNJgoXoTRzjji&#10;zZomFeUvXQ1MCT6DIkOo7uWUIY8izLRCSnBpmV0pTBSdYYpKmIG30v4EvMVnKJQx/RvwjCiZvUsz&#10;2Grn8Xdlp/Fespri7w5MurMFJ99dS3+LNTRvReHtbeSBfrkv8OcXvP8BAAD//wMAUEsDBBQABgAI&#10;AAAAIQDnfSG/3wAAAAkBAAAPAAAAZHJzL2Rvd25yZXYueG1sTI/BSsNAEIbvgu+wjOBF2k0WLTZm&#10;U0QoIgqlqYjettkxCc3OhuymjW/viAc9zj8f/3yTrybXiSMOofWkIZ0nIJAqb1uqNbzu1rNbECEa&#10;sqbzhBq+MMCqOD/LTWb9ibZ4LGMtuIRCZjQ0MfaZlKFq0Jkw9z0S7z794EzkcailHcyJy10nVZIs&#10;pDMt8YXG9PjQYHUoR6fh7XFT1tMYqsPVy/vyebdV66cPpfXlxXR/ByLiFP9g+NFndSjYae9HskF0&#10;GmZK3TCqQaUpCAaWi2sO9r+BLHL5/4PiGwAA//8DAFBLAQItABQABgAIAAAAIQC2gziS/gAAAOEB&#10;AAATAAAAAAAAAAAAAAAAAAAAAABbQ29udGVudF9UeXBlc10ueG1sUEsBAi0AFAAGAAgAAAAhADj9&#10;If/WAAAAlAEAAAsAAAAAAAAAAAAAAAAALwEAAF9yZWxzLy5yZWxzUEsBAi0AFAAGAAgAAAAhANoZ&#10;pf7YAQAACQQAAA4AAAAAAAAAAAAAAAAALgIAAGRycy9lMm9Eb2MueG1sUEsBAi0AFAAGAAgAAAAh&#10;AOd9Ib/fAAAACQEAAA8AAAAAAAAAAAAAAAAAMgQAAGRycy9kb3ducmV2LnhtbFBLBQYAAAAABAAE&#10;APMAAAA+BQAAAAA=&#10;" strokecolor="#0070c0" strokeweight="1pt"/>
                              </w:pict>
                            </mc:Fallback>
                          </mc:AlternateContent>
                        </w:r>
                      </w:p>
                      <w:p w14:paraId="7D832F8E" w14:textId="210CF14E" w:rsidR="003228F0" w:rsidRPr="001567E5" w:rsidRDefault="002736E0" w:rsidP="008A07E4">
                        <w:pPr>
                          <w:pStyle w:val="Default"/>
                          <w:ind w:left="-142" w:right="-143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E51170">
                          <w:rPr>
                            <w:sz w:val="23"/>
                            <w:szCs w:val="23"/>
                          </w:rPr>
                          <w:t>REA</w:t>
                        </w:r>
                        <w:r w:rsidR="00223333">
                          <w:rPr>
                            <w:sz w:val="23"/>
                            <w:szCs w:val="23"/>
                          </w:rPr>
                          <w:t>S</w:t>
                        </w:r>
                        <w:r w:rsidRPr="00E51170">
                          <w:rPr>
                            <w:sz w:val="23"/>
                            <w:szCs w:val="23"/>
                          </w:rPr>
                          <w:t xml:space="preserve"> |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E51170">
                          <w:rPr>
                            <w:sz w:val="23"/>
                            <w:szCs w:val="23"/>
                          </w:rPr>
                          <w:t>Vol.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XX</w:t>
                        </w:r>
                        <w:r w:rsidRPr="00E51170">
                          <w:rPr>
                            <w:sz w:val="23"/>
                            <w:szCs w:val="23"/>
                          </w:rPr>
                          <w:t xml:space="preserve"> |</w:t>
                        </w:r>
                        <w:r w:rsidRPr="00E51170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Pr="00E51170">
                          <w:rPr>
                            <w:sz w:val="23"/>
                            <w:szCs w:val="23"/>
                          </w:rPr>
                          <w:t xml:space="preserve">DOI: </w:t>
                        </w:r>
                        <w:hyperlink r:id="rId1" w:history="1">
                          <w:r w:rsidR="003C79A1" w:rsidRPr="00BD6E1A">
                            <w:rPr>
                              <w:rStyle w:val="Hyperlink"/>
                              <w:sz w:val="23"/>
                              <w:szCs w:val="23"/>
                            </w:rPr>
                            <w:t>https://doi.org/10.25248/REAS.eXX.2021</w:t>
                          </w:r>
                        </w:hyperlink>
                        <w:r>
                          <w:rPr>
                            <w:rStyle w:val="Hyperlink"/>
                            <w:sz w:val="23"/>
                            <w:szCs w:val="23"/>
                          </w:rPr>
                          <w:t xml:space="preserve">   </w:t>
                        </w:r>
                        <w:r w:rsidR="0084139D">
                          <w:rPr>
                            <w:rStyle w:val="Hyperlink"/>
                            <w:sz w:val="23"/>
                            <w:szCs w:val="23"/>
                          </w:rPr>
                          <w:tab/>
                        </w:r>
                        <w:r w:rsidRPr="0092033A">
                          <w:rPr>
                            <w:i/>
                            <w:sz w:val="23"/>
                            <w:szCs w:val="23"/>
                          </w:rPr>
                          <w:t xml:space="preserve">      </w:t>
                        </w:r>
                        <w:r w:rsidR="008A07E4">
                          <w:rPr>
                            <w:i/>
                            <w:sz w:val="23"/>
                            <w:szCs w:val="23"/>
                          </w:rPr>
                          <w:tab/>
                        </w:r>
                        <w:r w:rsidRPr="0092033A">
                          <w:rPr>
                            <w:sz w:val="23"/>
                            <w:szCs w:val="23"/>
                          </w:rPr>
                          <w:t xml:space="preserve">Página </w:t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begin"/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instrText>PAGE</w:instrText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separate"/>
                        </w:r>
                        <w:r w:rsidR="00C158D9">
                          <w:rPr>
                            <w:b/>
                            <w:bCs/>
                            <w:noProof/>
                            <w:sz w:val="23"/>
                            <w:szCs w:val="23"/>
                          </w:rPr>
                          <w:t>11</w:t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end"/>
                        </w:r>
                        <w:r w:rsidRPr="0092033A">
                          <w:rPr>
                            <w:sz w:val="23"/>
                            <w:szCs w:val="23"/>
                          </w:rPr>
                          <w:t xml:space="preserve"> de </w:t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begin"/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instrText>NUMPAGES</w:instrText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separate"/>
                        </w:r>
                        <w:r w:rsidR="00C158D9">
                          <w:rPr>
                            <w:b/>
                            <w:bCs/>
                            <w:noProof/>
                            <w:sz w:val="23"/>
                            <w:szCs w:val="23"/>
                          </w:rPr>
                          <w:t>11</w:t>
                        </w:r>
                        <w:r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989E" w14:textId="77777777" w:rsidR="0084139D" w:rsidRDefault="008413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7946B" w14:textId="77777777" w:rsidR="00B83B33" w:rsidRDefault="00B83B33">
      <w:r>
        <w:separator/>
      </w:r>
    </w:p>
  </w:footnote>
  <w:footnote w:type="continuationSeparator" w:id="0">
    <w:p w14:paraId="54CE880B" w14:textId="77777777" w:rsidR="00B83B33" w:rsidRDefault="00B83B33">
      <w:r>
        <w:continuationSeparator/>
      </w:r>
    </w:p>
  </w:footnote>
  <w:footnote w:id="1">
    <w:p w14:paraId="1CAB9DBC" w14:textId="6F8114D4" w:rsidR="001F3AC8" w:rsidRDefault="0046664D" w:rsidP="0046664D">
      <w:pPr>
        <w:pStyle w:val="Textodenotaderodap"/>
        <w:rPr>
          <w:rFonts w:ascii="Arial" w:hAnsi="Arial" w:cs="Arial"/>
          <w:sz w:val="20"/>
          <w:szCs w:val="20"/>
          <w:highlight w:val="yellow"/>
        </w:rPr>
      </w:pPr>
      <w:r w:rsidRPr="00884589">
        <w:rPr>
          <w:rStyle w:val="Caracteresdenotaderodap"/>
          <w:rFonts w:ascii="Arial" w:hAnsi="Arial" w:cs="Arial"/>
          <w:sz w:val="20"/>
          <w:szCs w:val="20"/>
          <w:vertAlign w:val="superscript"/>
        </w:rPr>
        <w:footnoteRef/>
      </w:r>
      <w:r w:rsidRPr="00884589">
        <w:rPr>
          <w:rFonts w:ascii="Arial" w:hAnsi="Arial" w:cs="Arial"/>
          <w:sz w:val="20"/>
          <w:szCs w:val="20"/>
        </w:rPr>
        <w:t xml:space="preserve"> </w:t>
      </w:r>
      <w:r w:rsidR="002B152E">
        <w:rPr>
          <w:rFonts w:ascii="Arial" w:hAnsi="Arial" w:cs="Arial"/>
          <w:sz w:val="20"/>
          <w:szCs w:val="20"/>
        </w:rPr>
        <w:t>Pós-Graduação em Cirurgia e Pesquisa Experimental (CIPE) da Universidade do Estado do Pará (UEPA)</w:t>
      </w:r>
      <w:r w:rsidRPr="00884589">
        <w:rPr>
          <w:rFonts w:ascii="Arial" w:hAnsi="Arial" w:cs="Arial"/>
          <w:sz w:val="20"/>
          <w:szCs w:val="20"/>
        </w:rPr>
        <w:t>,</w:t>
      </w:r>
      <w:r w:rsidR="00F16E1B">
        <w:rPr>
          <w:rFonts w:ascii="Arial" w:hAnsi="Arial" w:cs="Arial"/>
          <w:sz w:val="20"/>
          <w:szCs w:val="20"/>
        </w:rPr>
        <w:t xml:space="preserve"> </w:t>
      </w:r>
      <w:r w:rsidR="002B152E">
        <w:rPr>
          <w:rFonts w:ascii="Arial" w:hAnsi="Arial" w:cs="Arial"/>
          <w:sz w:val="20"/>
          <w:szCs w:val="20"/>
        </w:rPr>
        <w:t>Belém-Pará</w:t>
      </w:r>
      <w:r w:rsidRPr="00884589">
        <w:rPr>
          <w:rFonts w:ascii="Arial" w:hAnsi="Arial" w:cs="Arial"/>
          <w:sz w:val="20"/>
          <w:szCs w:val="20"/>
        </w:rPr>
        <w:t>. *E-ma</w:t>
      </w:r>
      <w:r w:rsidR="00BA5C6E" w:rsidRPr="00884589">
        <w:rPr>
          <w:rFonts w:ascii="Arial" w:hAnsi="Arial" w:cs="Arial"/>
          <w:sz w:val="20"/>
          <w:szCs w:val="20"/>
        </w:rPr>
        <w:t>i</w:t>
      </w:r>
      <w:r w:rsidRPr="00884589">
        <w:rPr>
          <w:rFonts w:ascii="Arial" w:hAnsi="Arial" w:cs="Arial"/>
          <w:sz w:val="20"/>
          <w:szCs w:val="20"/>
        </w:rPr>
        <w:t xml:space="preserve">l: </w:t>
      </w:r>
      <w:r w:rsidR="0004398D">
        <w:rPr>
          <w:rFonts w:ascii="Arial" w:hAnsi="Arial" w:cs="Arial"/>
          <w:sz w:val="20"/>
          <w:szCs w:val="20"/>
        </w:rPr>
        <w:t>e-mail do autor correspondente. Silmapaula2015@mail.com</w:t>
      </w:r>
    </w:p>
    <w:p w14:paraId="0A366184" w14:textId="77777777" w:rsidR="00F16E1B" w:rsidRPr="00884589" w:rsidRDefault="00F16E1B" w:rsidP="0046664D">
      <w:pPr>
        <w:pStyle w:val="Textodenotaderodap"/>
        <w:rPr>
          <w:rFonts w:ascii="Arial" w:hAnsi="Arial" w:cs="Arial"/>
          <w:b/>
          <w:sz w:val="20"/>
          <w:szCs w:val="20"/>
          <w:highlight w:val="yellow"/>
        </w:rPr>
      </w:pPr>
    </w:p>
    <w:p w14:paraId="591A392A" w14:textId="1802D8F0" w:rsidR="0046664D" w:rsidRPr="0046664D" w:rsidRDefault="00BA5C6E" w:rsidP="0046664D">
      <w:pPr>
        <w:pStyle w:val="Textodenotaderodap"/>
        <w:jc w:val="center"/>
        <w:rPr>
          <w:rFonts w:ascii="Arial" w:hAnsi="Arial" w:cs="Arial"/>
          <w:b/>
          <w:sz w:val="20"/>
          <w:szCs w:val="20"/>
        </w:rPr>
      </w:pPr>
      <w:r w:rsidRPr="00884589">
        <w:rPr>
          <w:rFonts w:ascii="Arial" w:hAnsi="Arial" w:cs="Arial"/>
          <w:b/>
          <w:sz w:val="20"/>
          <w:szCs w:val="20"/>
        </w:rPr>
        <w:t>SUBMETIDO EM: XX/2021</w:t>
      </w:r>
      <w:r w:rsidR="0046664D" w:rsidRPr="00884589">
        <w:rPr>
          <w:rFonts w:ascii="Arial" w:hAnsi="Arial" w:cs="Arial"/>
          <w:b/>
          <w:sz w:val="20"/>
          <w:szCs w:val="20"/>
        </w:rPr>
        <w:t xml:space="preserve">       </w:t>
      </w:r>
      <w:r w:rsidRPr="00884589">
        <w:rPr>
          <w:rFonts w:ascii="Arial" w:hAnsi="Arial" w:cs="Arial"/>
          <w:b/>
          <w:sz w:val="20"/>
          <w:szCs w:val="20"/>
        </w:rPr>
        <w:t xml:space="preserve">    |          ACEITO EM: XX/2021</w:t>
      </w:r>
      <w:r w:rsidR="0046664D" w:rsidRPr="00884589">
        <w:rPr>
          <w:rFonts w:ascii="Arial" w:hAnsi="Arial" w:cs="Arial"/>
          <w:b/>
          <w:sz w:val="20"/>
          <w:szCs w:val="20"/>
        </w:rPr>
        <w:t xml:space="preserve">       </w:t>
      </w:r>
      <w:r w:rsidRPr="00884589">
        <w:rPr>
          <w:rFonts w:ascii="Arial" w:hAnsi="Arial" w:cs="Arial"/>
          <w:b/>
          <w:sz w:val="20"/>
          <w:szCs w:val="20"/>
        </w:rPr>
        <w:t xml:space="preserve">  |         PUBLICADO EM: XX/2021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8E046" w14:textId="77777777" w:rsidR="0084139D" w:rsidRDefault="008413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09552909"/>
      <w:docPartObj>
        <w:docPartGallery w:val="AutoText"/>
      </w:docPartObj>
    </w:sdtPr>
    <w:sdtEndPr/>
    <w:sdtContent>
      <w:p w14:paraId="04A4EC5E" w14:textId="56A32C8D" w:rsidR="002C6838" w:rsidRPr="002C6838" w:rsidRDefault="00884757" w:rsidP="00461A2F">
        <w:pPr>
          <w:pStyle w:val="Rodap"/>
          <w:jc w:val="right"/>
          <w:rPr>
            <w:rFonts w:ascii="Arial" w:hAnsi="Arial" w:cs="Arial"/>
          </w:rPr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F18C4E6" wp14:editId="54270706">
              <wp:simplePos x="0" y="0"/>
              <wp:positionH relativeFrom="margin">
                <wp:posOffset>0</wp:posOffset>
              </wp:positionH>
              <wp:positionV relativeFrom="paragraph">
                <wp:posOffset>-177800</wp:posOffset>
              </wp:positionV>
              <wp:extent cx="1524000" cy="379095"/>
              <wp:effectExtent l="0" t="0" r="0" b="1905"/>
              <wp:wrapNone/>
              <wp:docPr id="6" name="Imagem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61A2F" w:rsidRPr="008A07E4">
          <w:rPr>
            <w:rFonts w:ascii="Arial" w:hAnsi="Arial" w:cs="Arial"/>
          </w:rPr>
          <w:t xml:space="preserve">                     </w:t>
        </w:r>
        <w:r w:rsidR="002C6838" w:rsidRPr="002C6838">
          <w:rPr>
            <w:rFonts w:ascii="Arial" w:hAnsi="Arial" w:cs="Arial"/>
          </w:rPr>
          <w:tab/>
          <w:t xml:space="preserve">Revista Eletrônica Acervo </w:t>
        </w:r>
        <w:r w:rsidR="00223333">
          <w:rPr>
            <w:rFonts w:ascii="Arial" w:hAnsi="Arial" w:cs="Arial"/>
          </w:rPr>
          <w:t>Saúde</w:t>
        </w:r>
        <w:r w:rsidR="00461A2F">
          <w:rPr>
            <w:rFonts w:ascii="Arial" w:hAnsi="Arial" w:cs="Arial"/>
          </w:rPr>
          <w:t xml:space="preserve"> </w:t>
        </w:r>
        <w:r w:rsidR="00A74ABE">
          <w:rPr>
            <w:rFonts w:ascii="Arial" w:hAnsi="Arial" w:cs="Arial"/>
          </w:rPr>
          <w:t xml:space="preserve">| </w:t>
        </w:r>
        <w:r w:rsidR="002C6838" w:rsidRPr="002C6838">
          <w:rPr>
            <w:rFonts w:ascii="Arial" w:hAnsi="Arial" w:cs="Arial"/>
          </w:rPr>
          <w:t>ISSN 2</w:t>
        </w:r>
        <w:r w:rsidR="00223333">
          <w:rPr>
            <w:rFonts w:ascii="Arial" w:hAnsi="Arial" w:cs="Arial"/>
          </w:rPr>
          <w:t>178</w:t>
        </w:r>
        <w:r w:rsidR="002C6838" w:rsidRPr="002C6838">
          <w:rPr>
            <w:rFonts w:ascii="Arial" w:hAnsi="Arial" w:cs="Arial"/>
          </w:rPr>
          <w:t>-</w:t>
        </w:r>
        <w:r w:rsidR="00223333">
          <w:rPr>
            <w:rFonts w:ascii="Arial" w:hAnsi="Arial" w:cs="Arial"/>
          </w:rPr>
          <w:t>2091</w:t>
        </w:r>
      </w:p>
      <w:p w14:paraId="460C73CB" w14:textId="5FC7E9FC" w:rsidR="002C6838" w:rsidRPr="002C6838" w:rsidRDefault="00AD6904" w:rsidP="002C6838">
        <w:pPr>
          <w:pStyle w:val="Cabealho"/>
          <w:rPr>
            <w:rFonts w:ascii="Arial" w:hAnsi="Arial" w:cs="Arial"/>
          </w:rPr>
        </w:pPr>
        <w:r w:rsidRPr="002C6838"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13A2585" wp14:editId="71560F23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111760</wp:posOffset>
                  </wp:positionV>
                  <wp:extent cx="6267450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67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line w14:anchorId="37053CA2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8.8pt" to="490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hg2AEAAAkEAAAOAAAAZHJzL2Uyb0RvYy54bWysU9uO0zAQfUfiHyy/06Rd6LJR033oanlB&#10;UHH5ANcZN5Z809g06d8zdtrsChASK16cjD3nzJwz9uZ+tIadAKP2ruXLRc0ZOOk77Y4t//7t8c17&#10;zmISrhPGO2j5GSK/375+tRlCAyvfe9MBMiJxsRlCy/uUQlNVUfZgRVz4AI4OlUcrEoV4rDoUA7Fb&#10;U63qel0NHruAXkKMtPswHfJt4VcKZPqsVITETMupt1RWLOshr9V2I5ojitBreWlDvKALK7SjojPV&#10;g0iC/UD9G5XVEn30Ki2kt5VXSksoGkjNsv5FzddeBChayJwYZpvi/6OVn057ZLpr+Q1nTlga0Y4G&#10;JZNHhpA8u8kWDSE2lLlze7xEMewx6x0V2vwlJWwstp5nW2FMTNLmerW+ffuO3JfXs+oJGDCmD+At&#10;yz8tN9plxaIRp48xUTFKvabkbePYQPfsria+HEdvdPeojSkBHg87g+wk8rTr23pXBkwUz9IoMo54&#10;s6ZJRflLZwNTgS+gyBDqezlVyFcRZlohJbi0zK4UJsrOMEUtzMBLa38DXvIzFMo1/RfwjCiVvUsz&#10;2Grn8U9tp/Haspryrw5MurMFB9+dy3yLNXTfisLL28gX+nlc4E8vePsTAAD//wMAUEsDBBQABgAI&#10;AAAAIQBecyoC3AAAAAgBAAAPAAAAZHJzL2Rvd25yZXYueG1sTI/BTsMwEETvSPyDtUjcWrsIhTbE&#10;qSokVAnBgRTum3hJAvE6st029OtrxAGOOzOafVOsJzuIA/nQO9awmCsQxI0zPbca3naPsyWIEJEN&#10;Do5JwzcFWJeXFwXmxh35lQ5VbEUq4ZCjhi7GMZcyNB1ZDHM3Eifvw3mLMZ2+lcbjMZXbQd4olUmL&#10;PacPHY700FHzVe2thpPfvrzv0NSb5/jkVWVus8+t0/r6atrcg4g0xb8w/OAndCgTU+32bIIYNMyy&#10;VUom/S4DkfzVUi1A1L+CLAv5f0B5BgAA//8DAFBLAQItABQABgAIAAAAIQC2gziS/gAAAOEBAAAT&#10;AAAAAAAAAAAAAAAAAAAAAABbQ29udGVudF9UeXBlc10ueG1sUEsBAi0AFAAGAAgAAAAhADj9If/W&#10;AAAAlAEAAAsAAAAAAAAAAAAAAAAALwEAAF9yZWxzLy5yZWxzUEsBAi0AFAAGAAgAAAAhAPY6WGDY&#10;AQAACQQAAA4AAAAAAAAAAAAAAAAALgIAAGRycy9lMm9Eb2MueG1sUEsBAi0AFAAGAAgAAAAhAF5z&#10;KgLcAAAACAEAAA8AAAAAAAAAAAAAAAAAMgQAAGRycy9kb3ducmV2LnhtbFBLBQYAAAAABAAEAPMA&#10;AAA7BQAAAAA=&#10;" strokecolor="#0070c0" strokeweight="1.5pt"/>
              </w:pict>
            </mc:Fallback>
          </mc:AlternateContent>
        </w:r>
      </w:p>
      <w:p w14:paraId="0D66C1FC" w14:textId="645D6646" w:rsidR="00E83E53" w:rsidRPr="002C6838" w:rsidRDefault="00B83B33" w:rsidP="003A6552">
        <w:pPr>
          <w:pStyle w:val="Cabealho"/>
          <w:rPr>
            <w:rFonts w:ascii="Arial" w:hAnsi="Arial" w:cs="Arial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8AF" w14:textId="77777777" w:rsidR="0084139D" w:rsidRDefault="008413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19A2D7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F6FDF"/>
    <w:multiLevelType w:val="hybridMultilevel"/>
    <w:tmpl w:val="138E9758"/>
    <w:lvl w:ilvl="0" w:tplc="94A0414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125F"/>
    <w:multiLevelType w:val="hybridMultilevel"/>
    <w:tmpl w:val="12AA4C44"/>
    <w:lvl w:ilvl="0" w:tplc="C1148F26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418C6"/>
    <w:multiLevelType w:val="hybridMultilevel"/>
    <w:tmpl w:val="216CAFA4"/>
    <w:lvl w:ilvl="0" w:tplc="24F885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57106"/>
    <w:multiLevelType w:val="hybridMultilevel"/>
    <w:tmpl w:val="38C8DEA0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C0ED7"/>
    <w:multiLevelType w:val="hybridMultilevel"/>
    <w:tmpl w:val="FD009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469E"/>
    <w:multiLevelType w:val="hybridMultilevel"/>
    <w:tmpl w:val="62C47D5A"/>
    <w:lvl w:ilvl="0" w:tplc="2D22C3EA">
      <w:start w:val="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0479F"/>
    <w:multiLevelType w:val="hybridMultilevel"/>
    <w:tmpl w:val="AC582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866DF"/>
    <w:multiLevelType w:val="hybridMultilevel"/>
    <w:tmpl w:val="BD2E4884"/>
    <w:lvl w:ilvl="0" w:tplc="C5FCC860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024C4"/>
    <w:multiLevelType w:val="hybridMultilevel"/>
    <w:tmpl w:val="59101A26"/>
    <w:lvl w:ilvl="0" w:tplc="E1D2B5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465D2E"/>
    <w:multiLevelType w:val="hybridMultilevel"/>
    <w:tmpl w:val="9F226728"/>
    <w:lvl w:ilvl="0" w:tplc="E618D0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5B3"/>
    <w:multiLevelType w:val="hybridMultilevel"/>
    <w:tmpl w:val="94D41F3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2D8BAB6"/>
    <w:multiLevelType w:val="multilevel"/>
    <w:tmpl w:val="87C64C5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BB1E85"/>
    <w:multiLevelType w:val="hybridMultilevel"/>
    <w:tmpl w:val="1C263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D6551"/>
    <w:multiLevelType w:val="hybridMultilevel"/>
    <w:tmpl w:val="2EC48C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5444D5"/>
    <w:multiLevelType w:val="hybridMultilevel"/>
    <w:tmpl w:val="8CAAE97C"/>
    <w:lvl w:ilvl="0" w:tplc="B51204E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420FA"/>
    <w:multiLevelType w:val="hybridMultilevel"/>
    <w:tmpl w:val="2CE6DE22"/>
    <w:lvl w:ilvl="0" w:tplc="A5949A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6FB"/>
    <w:multiLevelType w:val="hybridMultilevel"/>
    <w:tmpl w:val="818439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26EBC"/>
    <w:multiLevelType w:val="hybridMultilevel"/>
    <w:tmpl w:val="6DFCEB90"/>
    <w:lvl w:ilvl="0" w:tplc="7E1C98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F2F86"/>
    <w:multiLevelType w:val="multilevel"/>
    <w:tmpl w:val="E278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232C53"/>
    <w:multiLevelType w:val="hybridMultilevel"/>
    <w:tmpl w:val="942615CA"/>
    <w:lvl w:ilvl="0" w:tplc="4EF0C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1011B"/>
    <w:multiLevelType w:val="hybridMultilevel"/>
    <w:tmpl w:val="19B8E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96C1F"/>
    <w:multiLevelType w:val="multilevel"/>
    <w:tmpl w:val="7F66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7E1302"/>
    <w:multiLevelType w:val="hybridMultilevel"/>
    <w:tmpl w:val="2C5E59DE"/>
    <w:lvl w:ilvl="0" w:tplc="81D2B5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85E8B"/>
    <w:multiLevelType w:val="hybridMultilevel"/>
    <w:tmpl w:val="AED0D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358D2"/>
    <w:multiLevelType w:val="hybridMultilevel"/>
    <w:tmpl w:val="C39A7784"/>
    <w:lvl w:ilvl="0" w:tplc="CFBE45B6">
      <w:start w:val="1"/>
      <w:numFmt w:val="lowerRoman"/>
      <w:lvlText w:val="%1)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9"/>
  </w:num>
  <w:num w:numId="5">
    <w:abstractNumId w:val="23"/>
  </w:num>
  <w:num w:numId="6">
    <w:abstractNumId w:val="6"/>
  </w:num>
  <w:num w:numId="7">
    <w:abstractNumId w:val="10"/>
  </w:num>
  <w:num w:numId="8">
    <w:abstractNumId w:val="15"/>
  </w:num>
  <w:num w:numId="9">
    <w:abstractNumId w:val="16"/>
  </w:num>
  <w:num w:numId="10">
    <w:abstractNumId w:val="4"/>
  </w:num>
  <w:num w:numId="11">
    <w:abstractNumId w:val="3"/>
  </w:num>
  <w:num w:numId="12">
    <w:abstractNumId w:val="18"/>
  </w:num>
  <w:num w:numId="13">
    <w:abstractNumId w:val="1"/>
  </w:num>
  <w:num w:numId="14">
    <w:abstractNumId w:val="22"/>
  </w:num>
  <w:num w:numId="15">
    <w:abstractNumId w:val="19"/>
  </w:num>
  <w:num w:numId="16">
    <w:abstractNumId w:val="14"/>
  </w:num>
  <w:num w:numId="17">
    <w:abstractNumId w:val="7"/>
  </w:num>
  <w:num w:numId="18">
    <w:abstractNumId w:val="24"/>
  </w:num>
  <w:num w:numId="19">
    <w:abstractNumId w:val="21"/>
  </w:num>
  <w:num w:numId="20">
    <w:abstractNumId w:val="2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11DD6"/>
    <w:rsid w:val="000206B0"/>
    <w:rsid w:val="0002370F"/>
    <w:rsid w:val="000264B9"/>
    <w:rsid w:val="00035D09"/>
    <w:rsid w:val="0004398D"/>
    <w:rsid w:val="00046CB6"/>
    <w:rsid w:val="00056F83"/>
    <w:rsid w:val="000601E9"/>
    <w:rsid w:val="00061E10"/>
    <w:rsid w:val="0006404C"/>
    <w:rsid w:val="00070F0C"/>
    <w:rsid w:val="00073E91"/>
    <w:rsid w:val="00077654"/>
    <w:rsid w:val="000803BA"/>
    <w:rsid w:val="00081998"/>
    <w:rsid w:val="000820AD"/>
    <w:rsid w:val="000825CF"/>
    <w:rsid w:val="0008367C"/>
    <w:rsid w:val="00085069"/>
    <w:rsid w:val="00086ADE"/>
    <w:rsid w:val="0009043B"/>
    <w:rsid w:val="00095FCC"/>
    <w:rsid w:val="00097D56"/>
    <w:rsid w:val="000A7320"/>
    <w:rsid w:val="000B0028"/>
    <w:rsid w:val="000B42A2"/>
    <w:rsid w:val="000C2E14"/>
    <w:rsid w:val="000C33E2"/>
    <w:rsid w:val="000C4208"/>
    <w:rsid w:val="000D2040"/>
    <w:rsid w:val="000D6F92"/>
    <w:rsid w:val="000D73F4"/>
    <w:rsid w:val="000E15CB"/>
    <w:rsid w:val="000E1F6B"/>
    <w:rsid w:val="000F0033"/>
    <w:rsid w:val="000F284E"/>
    <w:rsid w:val="00106653"/>
    <w:rsid w:val="001127A8"/>
    <w:rsid w:val="00112D86"/>
    <w:rsid w:val="00134F59"/>
    <w:rsid w:val="001458DC"/>
    <w:rsid w:val="00146A3F"/>
    <w:rsid w:val="0015143E"/>
    <w:rsid w:val="001515A5"/>
    <w:rsid w:val="0015473C"/>
    <w:rsid w:val="001567E5"/>
    <w:rsid w:val="00160927"/>
    <w:rsid w:val="00160B0A"/>
    <w:rsid w:val="00161494"/>
    <w:rsid w:val="00163238"/>
    <w:rsid w:val="00167644"/>
    <w:rsid w:val="0017372E"/>
    <w:rsid w:val="001755E3"/>
    <w:rsid w:val="00175942"/>
    <w:rsid w:val="00195EE3"/>
    <w:rsid w:val="001975BC"/>
    <w:rsid w:val="001B0795"/>
    <w:rsid w:val="001B59B0"/>
    <w:rsid w:val="001B63AE"/>
    <w:rsid w:val="001B7A5B"/>
    <w:rsid w:val="001C47C6"/>
    <w:rsid w:val="001D16BF"/>
    <w:rsid w:val="001D4C49"/>
    <w:rsid w:val="001D608F"/>
    <w:rsid w:val="001F2CFA"/>
    <w:rsid w:val="001F34E3"/>
    <w:rsid w:val="001F3AC8"/>
    <w:rsid w:val="001F540C"/>
    <w:rsid w:val="00205582"/>
    <w:rsid w:val="002102EE"/>
    <w:rsid w:val="002167FB"/>
    <w:rsid w:val="00223333"/>
    <w:rsid w:val="00224124"/>
    <w:rsid w:val="002244DC"/>
    <w:rsid w:val="0022711C"/>
    <w:rsid w:val="002325B9"/>
    <w:rsid w:val="00243619"/>
    <w:rsid w:val="00246CCB"/>
    <w:rsid w:val="00247260"/>
    <w:rsid w:val="00257ADD"/>
    <w:rsid w:val="00257CDB"/>
    <w:rsid w:val="002624F7"/>
    <w:rsid w:val="002637F8"/>
    <w:rsid w:val="00265B8C"/>
    <w:rsid w:val="00272A72"/>
    <w:rsid w:val="002736E0"/>
    <w:rsid w:val="00276E80"/>
    <w:rsid w:val="00277892"/>
    <w:rsid w:val="00280FE4"/>
    <w:rsid w:val="0028367E"/>
    <w:rsid w:val="00291C6A"/>
    <w:rsid w:val="00292512"/>
    <w:rsid w:val="00296AEC"/>
    <w:rsid w:val="002A0FD9"/>
    <w:rsid w:val="002A216E"/>
    <w:rsid w:val="002B152E"/>
    <w:rsid w:val="002C658D"/>
    <w:rsid w:val="002C6838"/>
    <w:rsid w:val="002D11CB"/>
    <w:rsid w:val="002D420B"/>
    <w:rsid w:val="002E1054"/>
    <w:rsid w:val="002E1B46"/>
    <w:rsid w:val="002E3357"/>
    <w:rsid w:val="002F16E7"/>
    <w:rsid w:val="002F28C2"/>
    <w:rsid w:val="003228F0"/>
    <w:rsid w:val="00345F23"/>
    <w:rsid w:val="00346D75"/>
    <w:rsid w:val="00351AB4"/>
    <w:rsid w:val="00353634"/>
    <w:rsid w:val="00363227"/>
    <w:rsid w:val="00372A8A"/>
    <w:rsid w:val="003916EE"/>
    <w:rsid w:val="003936ED"/>
    <w:rsid w:val="003A2992"/>
    <w:rsid w:val="003A6552"/>
    <w:rsid w:val="003A7008"/>
    <w:rsid w:val="003B1A9C"/>
    <w:rsid w:val="003C79A1"/>
    <w:rsid w:val="003D3B40"/>
    <w:rsid w:val="003D5F37"/>
    <w:rsid w:val="003E7F0C"/>
    <w:rsid w:val="003F2687"/>
    <w:rsid w:val="003F329E"/>
    <w:rsid w:val="003F4D6F"/>
    <w:rsid w:val="004120DA"/>
    <w:rsid w:val="00415F9C"/>
    <w:rsid w:val="00427EBE"/>
    <w:rsid w:val="00433CCC"/>
    <w:rsid w:val="00435359"/>
    <w:rsid w:val="004450C3"/>
    <w:rsid w:val="004570B2"/>
    <w:rsid w:val="004576CE"/>
    <w:rsid w:val="0045793D"/>
    <w:rsid w:val="00457A52"/>
    <w:rsid w:val="00457C7B"/>
    <w:rsid w:val="00460B5B"/>
    <w:rsid w:val="00461114"/>
    <w:rsid w:val="00461A2F"/>
    <w:rsid w:val="0046664D"/>
    <w:rsid w:val="0046671B"/>
    <w:rsid w:val="00467BC7"/>
    <w:rsid w:val="00477143"/>
    <w:rsid w:val="00477FAD"/>
    <w:rsid w:val="004928EC"/>
    <w:rsid w:val="004940CC"/>
    <w:rsid w:val="004A0C30"/>
    <w:rsid w:val="004C0CCC"/>
    <w:rsid w:val="004D3076"/>
    <w:rsid w:val="004D429D"/>
    <w:rsid w:val="004D5BD7"/>
    <w:rsid w:val="004E05E9"/>
    <w:rsid w:val="004E29B3"/>
    <w:rsid w:val="004E5B6F"/>
    <w:rsid w:val="004E6FF1"/>
    <w:rsid w:val="00501DA0"/>
    <w:rsid w:val="00503F92"/>
    <w:rsid w:val="00506375"/>
    <w:rsid w:val="0051359B"/>
    <w:rsid w:val="005136A6"/>
    <w:rsid w:val="00513B1B"/>
    <w:rsid w:val="005243D3"/>
    <w:rsid w:val="00531776"/>
    <w:rsid w:val="00532EA5"/>
    <w:rsid w:val="00546773"/>
    <w:rsid w:val="0055072B"/>
    <w:rsid w:val="00563B3A"/>
    <w:rsid w:val="00566CDE"/>
    <w:rsid w:val="00572606"/>
    <w:rsid w:val="00576295"/>
    <w:rsid w:val="005763AB"/>
    <w:rsid w:val="00584033"/>
    <w:rsid w:val="00590D07"/>
    <w:rsid w:val="00597B83"/>
    <w:rsid w:val="005B114E"/>
    <w:rsid w:val="005C329A"/>
    <w:rsid w:val="005D42AF"/>
    <w:rsid w:val="005D6CB0"/>
    <w:rsid w:val="005E2D44"/>
    <w:rsid w:val="005E45B9"/>
    <w:rsid w:val="005E46B2"/>
    <w:rsid w:val="005E74AD"/>
    <w:rsid w:val="005F261F"/>
    <w:rsid w:val="005F4F2D"/>
    <w:rsid w:val="0060066C"/>
    <w:rsid w:val="00606BE1"/>
    <w:rsid w:val="006118A8"/>
    <w:rsid w:val="00611FC1"/>
    <w:rsid w:val="006127BA"/>
    <w:rsid w:val="00614DD8"/>
    <w:rsid w:val="006325B2"/>
    <w:rsid w:val="00634785"/>
    <w:rsid w:val="00634D35"/>
    <w:rsid w:val="00636DF9"/>
    <w:rsid w:val="00671DDA"/>
    <w:rsid w:val="00675787"/>
    <w:rsid w:val="00677CA5"/>
    <w:rsid w:val="00681A21"/>
    <w:rsid w:val="0068448A"/>
    <w:rsid w:val="00685F7E"/>
    <w:rsid w:val="00693DF8"/>
    <w:rsid w:val="0069770E"/>
    <w:rsid w:val="006B5CA8"/>
    <w:rsid w:val="006C0993"/>
    <w:rsid w:val="006D2ADF"/>
    <w:rsid w:val="006D4C71"/>
    <w:rsid w:val="006D6627"/>
    <w:rsid w:val="006E7E56"/>
    <w:rsid w:val="006F3156"/>
    <w:rsid w:val="006F3D6D"/>
    <w:rsid w:val="006F45B9"/>
    <w:rsid w:val="006F499D"/>
    <w:rsid w:val="00710509"/>
    <w:rsid w:val="007148D3"/>
    <w:rsid w:val="00721EAF"/>
    <w:rsid w:val="00732A87"/>
    <w:rsid w:val="00737B63"/>
    <w:rsid w:val="00752C08"/>
    <w:rsid w:val="007572C2"/>
    <w:rsid w:val="00763AED"/>
    <w:rsid w:val="007677CC"/>
    <w:rsid w:val="007753FA"/>
    <w:rsid w:val="00784884"/>
    <w:rsid w:val="00784D58"/>
    <w:rsid w:val="0078547D"/>
    <w:rsid w:val="007869EC"/>
    <w:rsid w:val="00794419"/>
    <w:rsid w:val="00794950"/>
    <w:rsid w:val="00796BA9"/>
    <w:rsid w:val="007A0C0B"/>
    <w:rsid w:val="007A1A5F"/>
    <w:rsid w:val="007A214E"/>
    <w:rsid w:val="007A4FEC"/>
    <w:rsid w:val="007A5F68"/>
    <w:rsid w:val="007B1ADE"/>
    <w:rsid w:val="007B60EE"/>
    <w:rsid w:val="007B75B5"/>
    <w:rsid w:val="007C0EE7"/>
    <w:rsid w:val="007C67E8"/>
    <w:rsid w:val="007C78E0"/>
    <w:rsid w:val="007E1EEA"/>
    <w:rsid w:val="007E7825"/>
    <w:rsid w:val="007F6195"/>
    <w:rsid w:val="007F758D"/>
    <w:rsid w:val="0080037E"/>
    <w:rsid w:val="00802E5A"/>
    <w:rsid w:val="00803A66"/>
    <w:rsid w:val="008142B4"/>
    <w:rsid w:val="0082207A"/>
    <w:rsid w:val="0082472A"/>
    <w:rsid w:val="0082593A"/>
    <w:rsid w:val="0082673C"/>
    <w:rsid w:val="00833724"/>
    <w:rsid w:val="0084139D"/>
    <w:rsid w:val="00845C33"/>
    <w:rsid w:val="00847EB5"/>
    <w:rsid w:val="0085165A"/>
    <w:rsid w:val="00880399"/>
    <w:rsid w:val="00884589"/>
    <w:rsid w:val="00884757"/>
    <w:rsid w:val="00886228"/>
    <w:rsid w:val="008868D7"/>
    <w:rsid w:val="00890DB2"/>
    <w:rsid w:val="00892C84"/>
    <w:rsid w:val="00897853"/>
    <w:rsid w:val="008A07E4"/>
    <w:rsid w:val="008A5FEE"/>
    <w:rsid w:val="008A6346"/>
    <w:rsid w:val="008A7613"/>
    <w:rsid w:val="008B0941"/>
    <w:rsid w:val="008B3961"/>
    <w:rsid w:val="008B5E25"/>
    <w:rsid w:val="008B6370"/>
    <w:rsid w:val="008C06F1"/>
    <w:rsid w:val="008C3C0B"/>
    <w:rsid w:val="008D458A"/>
    <w:rsid w:val="008D4707"/>
    <w:rsid w:val="008D6863"/>
    <w:rsid w:val="008E255D"/>
    <w:rsid w:val="008E44C6"/>
    <w:rsid w:val="008F2BDA"/>
    <w:rsid w:val="008F2EB7"/>
    <w:rsid w:val="00901B95"/>
    <w:rsid w:val="00911EDD"/>
    <w:rsid w:val="00930AEA"/>
    <w:rsid w:val="0093261C"/>
    <w:rsid w:val="00932931"/>
    <w:rsid w:val="009344AC"/>
    <w:rsid w:val="00940C02"/>
    <w:rsid w:val="009459E4"/>
    <w:rsid w:val="009505DB"/>
    <w:rsid w:val="00960907"/>
    <w:rsid w:val="00960C3C"/>
    <w:rsid w:val="009618E7"/>
    <w:rsid w:val="0096273E"/>
    <w:rsid w:val="00964A62"/>
    <w:rsid w:val="00965465"/>
    <w:rsid w:val="00965AA2"/>
    <w:rsid w:val="009816B6"/>
    <w:rsid w:val="00982729"/>
    <w:rsid w:val="00984B64"/>
    <w:rsid w:val="0098658D"/>
    <w:rsid w:val="00996179"/>
    <w:rsid w:val="009A20E5"/>
    <w:rsid w:val="009A2D20"/>
    <w:rsid w:val="009A335B"/>
    <w:rsid w:val="009A4B78"/>
    <w:rsid w:val="009B4011"/>
    <w:rsid w:val="009B633B"/>
    <w:rsid w:val="009C1EDD"/>
    <w:rsid w:val="009C39FE"/>
    <w:rsid w:val="009F1A66"/>
    <w:rsid w:val="00A06AE2"/>
    <w:rsid w:val="00A1315C"/>
    <w:rsid w:val="00A139CE"/>
    <w:rsid w:val="00A2257E"/>
    <w:rsid w:val="00A25565"/>
    <w:rsid w:val="00A25DD8"/>
    <w:rsid w:val="00A32DBD"/>
    <w:rsid w:val="00A33523"/>
    <w:rsid w:val="00A463F5"/>
    <w:rsid w:val="00A50957"/>
    <w:rsid w:val="00A5758F"/>
    <w:rsid w:val="00A61DBE"/>
    <w:rsid w:val="00A67BC0"/>
    <w:rsid w:val="00A7410C"/>
    <w:rsid w:val="00A74ABE"/>
    <w:rsid w:val="00A75047"/>
    <w:rsid w:val="00A77A6F"/>
    <w:rsid w:val="00A77BAE"/>
    <w:rsid w:val="00A822EA"/>
    <w:rsid w:val="00A83CFC"/>
    <w:rsid w:val="00A856D1"/>
    <w:rsid w:val="00A856DB"/>
    <w:rsid w:val="00A92D37"/>
    <w:rsid w:val="00AA028D"/>
    <w:rsid w:val="00AA196E"/>
    <w:rsid w:val="00AA3DEC"/>
    <w:rsid w:val="00AB0120"/>
    <w:rsid w:val="00AB3140"/>
    <w:rsid w:val="00AC1E3C"/>
    <w:rsid w:val="00AC6B5F"/>
    <w:rsid w:val="00AD53E4"/>
    <w:rsid w:val="00AD6904"/>
    <w:rsid w:val="00B040D5"/>
    <w:rsid w:val="00B05A19"/>
    <w:rsid w:val="00B060A5"/>
    <w:rsid w:val="00B10930"/>
    <w:rsid w:val="00B33B33"/>
    <w:rsid w:val="00B416DB"/>
    <w:rsid w:val="00B419C2"/>
    <w:rsid w:val="00B437B2"/>
    <w:rsid w:val="00B437FC"/>
    <w:rsid w:val="00B45EB5"/>
    <w:rsid w:val="00B5271E"/>
    <w:rsid w:val="00B53A75"/>
    <w:rsid w:val="00B73770"/>
    <w:rsid w:val="00B75433"/>
    <w:rsid w:val="00B812D3"/>
    <w:rsid w:val="00B836B2"/>
    <w:rsid w:val="00B83B33"/>
    <w:rsid w:val="00B86B75"/>
    <w:rsid w:val="00B90901"/>
    <w:rsid w:val="00B9327C"/>
    <w:rsid w:val="00B935A7"/>
    <w:rsid w:val="00B95658"/>
    <w:rsid w:val="00BA184A"/>
    <w:rsid w:val="00BA25B4"/>
    <w:rsid w:val="00BA4BFE"/>
    <w:rsid w:val="00BA5C6E"/>
    <w:rsid w:val="00BA6F2D"/>
    <w:rsid w:val="00BA72D1"/>
    <w:rsid w:val="00BB1225"/>
    <w:rsid w:val="00BC0952"/>
    <w:rsid w:val="00BC48D5"/>
    <w:rsid w:val="00BD6796"/>
    <w:rsid w:val="00BD7261"/>
    <w:rsid w:val="00BD7E46"/>
    <w:rsid w:val="00BE3E07"/>
    <w:rsid w:val="00BE5CB3"/>
    <w:rsid w:val="00BF0E7A"/>
    <w:rsid w:val="00BF40CB"/>
    <w:rsid w:val="00BF46D2"/>
    <w:rsid w:val="00C01387"/>
    <w:rsid w:val="00C01413"/>
    <w:rsid w:val="00C02FED"/>
    <w:rsid w:val="00C041DF"/>
    <w:rsid w:val="00C110CB"/>
    <w:rsid w:val="00C15242"/>
    <w:rsid w:val="00C158D9"/>
    <w:rsid w:val="00C15EAB"/>
    <w:rsid w:val="00C1712E"/>
    <w:rsid w:val="00C1733F"/>
    <w:rsid w:val="00C21A54"/>
    <w:rsid w:val="00C244FC"/>
    <w:rsid w:val="00C264CB"/>
    <w:rsid w:val="00C26C43"/>
    <w:rsid w:val="00C36279"/>
    <w:rsid w:val="00C455FD"/>
    <w:rsid w:val="00C52550"/>
    <w:rsid w:val="00C52E48"/>
    <w:rsid w:val="00C5445C"/>
    <w:rsid w:val="00C545C4"/>
    <w:rsid w:val="00C73402"/>
    <w:rsid w:val="00C83B00"/>
    <w:rsid w:val="00C87D2D"/>
    <w:rsid w:val="00C9369A"/>
    <w:rsid w:val="00CA6314"/>
    <w:rsid w:val="00CA6A31"/>
    <w:rsid w:val="00CB17E0"/>
    <w:rsid w:val="00CB2F17"/>
    <w:rsid w:val="00CB40A2"/>
    <w:rsid w:val="00CB68FD"/>
    <w:rsid w:val="00CC3ED7"/>
    <w:rsid w:val="00CC7EEE"/>
    <w:rsid w:val="00CD208C"/>
    <w:rsid w:val="00CD315F"/>
    <w:rsid w:val="00CD52BA"/>
    <w:rsid w:val="00CD6E18"/>
    <w:rsid w:val="00CE01E9"/>
    <w:rsid w:val="00CE0DC6"/>
    <w:rsid w:val="00CE1D89"/>
    <w:rsid w:val="00CE752C"/>
    <w:rsid w:val="00CE7F9B"/>
    <w:rsid w:val="00CF7FFD"/>
    <w:rsid w:val="00D00713"/>
    <w:rsid w:val="00D014C5"/>
    <w:rsid w:val="00D053A2"/>
    <w:rsid w:val="00D17507"/>
    <w:rsid w:val="00D308A9"/>
    <w:rsid w:val="00D31395"/>
    <w:rsid w:val="00D34C65"/>
    <w:rsid w:val="00D36A3C"/>
    <w:rsid w:val="00D414FF"/>
    <w:rsid w:val="00D42C0E"/>
    <w:rsid w:val="00D454F7"/>
    <w:rsid w:val="00D476B9"/>
    <w:rsid w:val="00D531CF"/>
    <w:rsid w:val="00D56934"/>
    <w:rsid w:val="00D56C87"/>
    <w:rsid w:val="00D56FA8"/>
    <w:rsid w:val="00D57576"/>
    <w:rsid w:val="00D63307"/>
    <w:rsid w:val="00D63A8C"/>
    <w:rsid w:val="00D7020B"/>
    <w:rsid w:val="00D74057"/>
    <w:rsid w:val="00D83999"/>
    <w:rsid w:val="00DA10EA"/>
    <w:rsid w:val="00DA2A50"/>
    <w:rsid w:val="00DA4151"/>
    <w:rsid w:val="00DA7E2B"/>
    <w:rsid w:val="00DB5793"/>
    <w:rsid w:val="00DC57EF"/>
    <w:rsid w:val="00DD3695"/>
    <w:rsid w:val="00DE148A"/>
    <w:rsid w:val="00DE3DF9"/>
    <w:rsid w:val="00DF3895"/>
    <w:rsid w:val="00DF4CB9"/>
    <w:rsid w:val="00DF6321"/>
    <w:rsid w:val="00E0758F"/>
    <w:rsid w:val="00E1339C"/>
    <w:rsid w:val="00E134BC"/>
    <w:rsid w:val="00E15C51"/>
    <w:rsid w:val="00E20031"/>
    <w:rsid w:val="00E24A04"/>
    <w:rsid w:val="00E261DD"/>
    <w:rsid w:val="00E2659D"/>
    <w:rsid w:val="00E315A3"/>
    <w:rsid w:val="00E31747"/>
    <w:rsid w:val="00E4206E"/>
    <w:rsid w:val="00E4252D"/>
    <w:rsid w:val="00E52D89"/>
    <w:rsid w:val="00E545FD"/>
    <w:rsid w:val="00E622DA"/>
    <w:rsid w:val="00E62879"/>
    <w:rsid w:val="00E65D99"/>
    <w:rsid w:val="00E83E53"/>
    <w:rsid w:val="00E86B2C"/>
    <w:rsid w:val="00E87FD2"/>
    <w:rsid w:val="00E92D52"/>
    <w:rsid w:val="00E96C11"/>
    <w:rsid w:val="00E96FAA"/>
    <w:rsid w:val="00E9736D"/>
    <w:rsid w:val="00EA2420"/>
    <w:rsid w:val="00EB42F5"/>
    <w:rsid w:val="00EB676E"/>
    <w:rsid w:val="00EC6290"/>
    <w:rsid w:val="00ED023E"/>
    <w:rsid w:val="00ED0BFD"/>
    <w:rsid w:val="00EF0397"/>
    <w:rsid w:val="00F010A9"/>
    <w:rsid w:val="00F16E1B"/>
    <w:rsid w:val="00F17CC1"/>
    <w:rsid w:val="00F17E2D"/>
    <w:rsid w:val="00F2247E"/>
    <w:rsid w:val="00F30953"/>
    <w:rsid w:val="00F31603"/>
    <w:rsid w:val="00F363AC"/>
    <w:rsid w:val="00F44A3B"/>
    <w:rsid w:val="00F44C87"/>
    <w:rsid w:val="00F55440"/>
    <w:rsid w:val="00F55BA5"/>
    <w:rsid w:val="00F7560F"/>
    <w:rsid w:val="00F80CD8"/>
    <w:rsid w:val="00F82180"/>
    <w:rsid w:val="00F95230"/>
    <w:rsid w:val="00F971BD"/>
    <w:rsid w:val="00FA28A3"/>
    <w:rsid w:val="00FB1AAB"/>
    <w:rsid w:val="00FB4689"/>
    <w:rsid w:val="00FB6715"/>
    <w:rsid w:val="00FC277A"/>
    <w:rsid w:val="00FD2E06"/>
    <w:rsid w:val="00FD7600"/>
    <w:rsid w:val="00FD7F9A"/>
    <w:rsid w:val="00FE0649"/>
    <w:rsid w:val="00FE6A0D"/>
    <w:rsid w:val="00FF0ADB"/>
    <w:rsid w:val="00FF121B"/>
    <w:rsid w:val="00FF72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6F3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1B"/>
    <w:pPr>
      <w:spacing w:after="0"/>
    </w:pPr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Cabealho">
    <w:name w:val="header"/>
    <w:basedOn w:val="Normal"/>
    <w:link w:val="CabealhoChar"/>
    <w:uiPriority w:val="99"/>
    <w:unhideWhenUsed/>
    <w:rsid w:val="0028367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8367E"/>
  </w:style>
  <w:style w:type="paragraph" w:styleId="Rodap">
    <w:name w:val="footer"/>
    <w:basedOn w:val="Normal"/>
    <w:link w:val="RodapChar"/>
    <w:uiPriority w:val="99"/>
    <w:unhideWhenUsed/>
    <w:qFormat/>
    <w:rsid w:val="0028367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28367E"/>
  </w:style>
  <w:style w:type="character" w:styleId="Nmerodelinha">
    <w:name w:val="line number"/>
    <w:basedOn w:val="Fontepargpadro"/>
    <w:semiHidden/>
    <w:unhideWhenUsed/>
    <w:rsid w:val="007E1EEA"/>
  </w:style>
  <w:style w:type="paragraph" w:styleId="PargrafodaLista">
    <w:name w:val="List Paragraph"/>
    <w:basedOn w:val="Normal"/>
    <w:uiPriority w:val="34"/>
    <w:qFormat/>
    <w:rsid w:val="00B45EB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865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5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5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865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65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986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8658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semiHidden/>
    <w:rsid w:val="007572C2"/>
    <w:rPr>
      <w:color w:val="80808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1359B"/>
  </w:style>
  <w:style w:type="character" w:customStyle="1" w:styleId="MenoPendente1">
    <w:name w:val="Menção Pendente1"/>
    <w:basedOn w:val="Fontepargpadro"/>
    <w:uiPriority w:val="99"/>
    <w:semiHidden/>
    <w:unhideWhenUsed/>
    <w:rsid w:val="00CD6E18"/>
    <w:rPr>
      <w:color w:val="605E5C"/>
      <w:shd w:val="clear" w:color="auto" w:fill="E1DFDD"/>
    </w:rPr>
  </w:style>
  <w:style w:type="character" w:customStyle="1" w:styleId="shorttext">
    <w:name w:val="short_text"/>
    <w:basedOn w:val="Fontepargpadro"/>
    <w:rsid w:val="007869EC"/>
  </w:style>
  <w:style w:type="paragraph" w:customStyle="1" w:styleId="Default">
    <w:name w:val="Default"/>
    <w:qFormat/>
    <w:rsid w:val="00E83E5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pt-BR"/>
    </w:rPr>
  </w:style>
  <w:style w:type="character" w:customStyle="1" w:styleId="Caracteresdenotaderodap">
    <w:name w:val="Caracteres de nota de rodapé"/>
    <w:rsid w:val="0046664D"/>
  </w:style>
  <w:style w:type="character" w:customStyle="1" w:styleId="Refdenotaderodap1">
    <w:name w:val="Ref. de nota de rodapé1"/>
    <w:rsid w:val="0046664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6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664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SemEspaamento">
    <w:name w:val="No Spacing"/>
    <w:uiPriority w:val="1"/>
    <w:qFormat/>
    <w:rsid w:val="00CD52BA"/>
    <w:pPr>
      <w:spacing w:after="0"/>
    </w:pPr>
    <w:rPr>
      <w:rFonts w:ascii="Calibri" w:eastAsia="Calibri" w:hAnsi="Calibri" w:cs="Times New Roman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DA4151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DA415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A06A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16E1B"/>
    <w:rPr>
      <w:b/>
      <w:bCs/>
    </w:rPr>
  </w:style>
  <w:style w:type="character" w:styleId="HiperlinkVisitado">
    <w:name w:val="FollowedHyperlink"/>
    <w:basedOn w:val="Fontepargpadro"/>
    <w:unhideWhenUsed/>
    <w:rsid w:val="006B5C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86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71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547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4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819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75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03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088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641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43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434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60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12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232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4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852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674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h.com.br/sis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5248/REAS.eXX.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C467-256E-41D3-BF0B-CE3BB2FF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4541</Words>
  <Characters>24527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2025-05-18T19:00:00Z</dcterms:created>
  <dcterms:modified xsi:type="dcterms:W3CDTF">2025-05-31T14:46:00Z</dcterms:modified>
</cp:coreProperties>
</file>